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105C5" w14:textId="22A40DA6" w:rsidR="00101D43" w:rsidRPr="00DC4A4E" w:rsidRDefault="00102BB1" w:rsidP="009F7957">
      <w:pPr>
        <w:pStyle w:val="HED-title"/>
        <w:spacing w:line="240" w:lineRule="atLeast"/>
      </w:pPr>
      <w:r w:rsidRPr="00DC4A4E">
        <w:t>Sport Consumption Habits in Terms of Generations</w:t>
      </w:r>
    </w:p>
    <w:p w14:paraId="1025F3E7" w14:textId="7B33D4EB" w:rsidR="003A0376" w:rsidRPr="00DC4A4E" w:rsidRDefault="003A0376" w:rsidP="003A0376">
      <w:pPr>
        <w:pStyle w:val="HED-authors"/>
      </w:pPr>
      <w:r w:rsidRPr="00DC4A4E">
        <w:t xml:space="preserve">Tibor ZSIGMOND*, </w:t>
      </w:r>
      <w:proofErr w:type="spellStart"/>
      <w:r w:rsidR="00102BB1" w:rsidRPr="00DC4A4E">
        <w:t>Renáta</w:t>
      </w:r>
      <w:proofErr w:type="spellEnd"/>
      <w:r w:rsidR="00101D43" w:rsidRPr="00DC4A4E">
        <w:t xml:space="preserve"> </w:t>
      </w:r>
      <w:r w:rsidR="00102BB1" w:rsidRPr="00DC4A4E">
        <w:t>MACHOVÁ</w:t>
      </w:r>
      <w:r w:rsidR="00101D43" w:rsidRPr="00DC4A4E">
        <w:t xml:space="preserve">, </w:t>
      </w:r>
      <w:proofErr w:type="spellStart"/>
      <w:r w:rsidR="00102BB1" w:rsidRPr="00DC4A4E">
        <w:t>Enikő</w:t>
      </w:r>
      <w:proofErr w:type="spellEnd"/>
      <w:r w:rsidR="00102BB1" w:rsidRPr="00DC4A4E">
        <w:t xml:space="preserve"> </w:t>
      </w:r>
      <w:r w:rsidR="00C61A94" w:rsidRPr="00DC4A4E">
        <w:t>KORCSMÁROS</w:t>
      </w:r>
      <w:r w:rsidR="00102BB1" w:rsidRPr="00DC4A4E">
        <w:t xml:space="preserve">, </w:t>
      </w:r>
      <w:proofErr w:type="spellStart"/>
      <w:r w:rsidR="00102BB1" w:rsidRPr="00DC4A4E">
        <w:t>Annamária</w:t>
      </w:r>
      <w:proofErr w:type="spellEnd"/>
      <w:r w:rsidR="00102BB1" w:rsidRPr="00DC4A4E">
        <w:t xml:space="preserve"> ZSIGMONDOVÁ</w:t>
      </w:r>
      <w:r w:rsidR="00584B67">
        <w:t xml:space="preserve"> and</w:t>
      </w:r>
      <w:bookmarkStart w:id="0" w:name="_GoBack"/>
      <w:bookmarkEnd w:id="0"/>
      <w:r w:rsidR="00102BB1" w:rsidRPr="00DC4A4E">
        <w:t xml:space="preserve"> </w:t>
      </w:r>
      <w:proofErr w:type="spellStart"/>
      <w:r w:rsidR="00102BB1" w:rsidRPr="00DC4A4E">
        <w:t>Zoltán</w:t>
      </w:r>
      <w:proofErr w:type="spellEnd"/>
      <w:r w:rsidR="00102BB1" w:rsidRPr="00DC4A4E">
        <w:t xml:space="preserve"> ŠEBEN</w:t>
      </w:r>
    </w:p>
    <w:p w14:paraId="1B4C8702" w14:textId="69F29548" w:rsidR="005B0BA1" w:rsidRPr="00DC4A4E" w:rsidRDefault="00101D43" w:rsidP="005B0BA1">
      <w:pPr>
        <w:pStyle w:val="HED-affiliationandcorrespondece"/>
        <w:rPr>
          <w:color w:val="auto"/>
        </w:rPr>
      </w:pPr>
      <w:r w:rsidRPr="00DC4A4E">
        <w:tab/>
      </w:r>
      <w:r w:rsidR="005B0BA1" w:rsidRPr="00DC4A4E">
        <w:t xml:space="preserve">J. Selye University, </w:t>
      </w:r>
      <w:proofErr w:type="spellStart"/>
      <w:r w:rsidR="005B0BA1" w:rsidRPr="00DC4A4E">
        <w:t>Komárno</w:t>
      </w:r>
      <w:proofErr w:type="spellEnd"/>
      <w:r w:rsidR="005B0BA1" w:rsidRPr="00DC4A4E">
        <w:t xml:space="preserve">, Slovakia; </w:t>
      </w:r>
      <w:hyperlink r:id="rId11" w:history="1">
        <w:r w:rsidR="005B0BA1" w:rsidRPr="00DC4A4E">
          <w:rPr>
            <w:rStyle w:val="Hypertextovodkaz"/>
            <w:color w:val="auto"/>
            <w:u w:val="none"/>
          </w:rPr>
          <w:t>machovar</w:t>
        </w:r>
        <w:r w:rsidR="005B0BA1" w:rsidRPr="00DC4A4E">
          <w:rPr>
            <w:rStyle w:val="Hypertextovodkaz"/>
            <w:color w:val="auto"/>
            <w:szCs w:val="20"/>
            <w:u w:val="none"/>
          </w:rPr>
          <w:t>@ujs.sk</w:t>
        </w:r>
      </w:hyperlink>
      <w:r w:rsidR="005B0BA1" w:rsidRPr="00DC4A4E">
        <w:rPr>
          <w:color w:val="auto"/>
        </w:rPr>
        <w:t xml:space="preserve">; </w:t>
      </w:r>
      <w:hyperlink r:id="rId12" w:history="1">
        <w:r w:rsidR="005B0BA1" w:rsidRPr="00DC4A4E">
          <w:rPr>
            <w:rStyle w:val="Hypertextovodkaz"/>
            <w:color w:val="auto"/>
            <w:u w:val="none"/>
          </w:rPr>
          <w:t>zsigmondt@ujs.sk</w:t>
        </w:r>
      </w:hyperlink>
      <w:r w:rsidR="005B0BA1" w:rsidRPr="00DC4A4E">
        <w:rPr>
          <w:color w:val="auto"/>
        </w:rPr>
        <w:t xml:space="preserve">; </w:t>
      </w:r>
      <w:hyperlink r:id="rId13" w:history="1">
        <w:r w:rsidR="005B0BA1" w:rsidRPr="00DC4A4E">
          <w:rPr>
            <w:rStyle w:val="Hypertextovodkaz"/>
            <w:color w:val="auto"/>
            <w:u w:val="none"/>
          </w:rPr>
          <w:t>korcsmarose@ujs.sk</w:t>
        </w:r>
      </w:hyperlink>
      <w:r w:rsidR="005B0BA1" w:rsidRPr="00DC4A4E">
        <w:rPr>
          <w:color w:val="auto"/>
        </w:rPr>
        <w:t xml:space="preserve">; </w:t>
      </w:r>
      <w:hyperlink r:id="rId14" w:history="1">
        <w:r w:rsidR="005B0BA1" w:rsidRPr="00DC4A4E">
          <w:rPr>
            <w:rStyle w:val="Hypertextovodkaz"/>
            <w:color w:val="auto"/>
            <w:u w:val="none"/>
          </w:rPr>
          <w:t>zsigmondova.annamaria@student.ujs.sk</w:t>
        </w:r>
      </w:hyperlink>
      <w:r w:rsidR="005B0BA1" w:rsidRPr="00DC4A4E">
        <w:rPr>
          <w:color w:val="auto"/>
        </w:rPr>
        <w:t xml:space="preserve">; </w:t>
      </w:r>
      <w:hyperlink r:id="rId15" w:history="1">
        <w:r w:rsidR="005B0BA1" w:rsidRPr="00DC4A4E">
          <w:rPr>
            <w:rStyle w:val="Hypertextovodkaz"/>
            <w:color w:val="auto"/>
            <w:u w:val="none"/>
          </w:rPr>
          <w:t>sebenz@ujs.sk</w:t>
        </w:r>
      </w:hyperlink>
    </w:p>
    <w:p w14:paraId="29EC0899" w14:textId="58DBA1AE" w:rsidR="00101D43" w:rsidRPr="00DC4A4E" w:rsidRDefault="00101D43" w:rsidP="007B24D2">
      <w:pPr>
        <w:pStyle w:val="HED-affiliationandcorrespondece"/>
        <w:rPr>
          <w:color w:val="auto"/>
        </w:rPr>
      </w:pPr>
      <w:r w:rsidRPr="00DC4A4E">
        <w:rPr>
          <w:b/>
          <w:color w:val="auto"/>
        </w:rPr>
        <w:t>*</w:t>
      </w:r>
      <w:r w:rsidRPr="00DC4A4E">
        <w:rPr>
          <w:color w:val="auto"/>
        </w:rPr>
        <w:tab/>
        <w:t>Correspond</w:t>
      </w:r>
      <w:r w:rsidR="00616083" w:rsidRPr="00DC4A4E">
        <w:rPr>
          <w:color w:val="auto"/>
        </w:rPr>
        <w:t>ing author</w:t>
      </w:r>
      <w:r w:rsidRPr="00DC4A4E">
        <w:rPr>
          <w:color w:val="auto"/>
        </w:rPr>
        <w:t xml:space="preserve">: </w:t>
      </w:r>
      <w:hyperlink r:id="rId16" w:history="1">
        <w:r w:rsidR="005B0BA1" w:rsidRPr="00DC4A4E">
          <w:rPr>
            <w:rStyle w:val="Hypertextovodkaz"/>
            <w:color w:val="auto"/>
            <w:u w:val="none"/>
          </w:rPr>
          <w:t>zsigmondt@ujs.sk</w:t>
        </w:r>
      </w:hyperlink>
    </w:p>
    <w:p w14:paraId="17055B89" w14:textId="414F43AF" w:rsidR="005B0BA1" w:rsidRPr="00DC4A4E" w:rsidRDefault="00101D43" w:rsidP="00DC4A4E">
      <w:pPr>
        <w:pStyle w:val="HED-abstract"/>
      </w:pPr>
      <w:r w:rsidRPr="00DC4A4E">
        <w:rPr>
          <w:b/>
        </w:rPr>
        <w:t>Abstract:</w:t>
      </w:r>
      <w:r w:rsidRPr="00DC4A4E">
        <w:t xml:space="preserve"> </w:t>
      </w:r>
      <w:r w:rsidR="005B0BA1" w:rsidRPr="00DC4A4E">
        <w:t>Consumer behavior involves the experience resulting from using the product or service, as well as show we share our experience and opinions about the product with others. The way of sharing this experience and opinion can vary significantly in terms of generations. The aim of the study is to introduce the differences in sport consumption habits in terms of generations and to examine the services and products offered by a football club in the Slovak “Fortuna Liga” based on the consumers’ opinion and experience Research is based on a questionnaire survey (th</w:t>
      </w:r>
      <w:r w:rsidR="003E094A" w:rsidRPr="00DC4A4E">
        <w:t>e number of items is N</w:t>
      </w:r>
      <w:r w:rsidR="00F11BDD">
        <w:t xml:space="preserve"> </w:t>
      </w:r>
      <w:r w:rsidR="003E094A" w:rsidRPr="00DC4A4E">
        <w:t>=</w:t>
      </w:r>
      <w:r w:rsidR="00F11BDD">
        <w:t xml:space="preserve"> </w:t>
      </w:r>
      <w:r w:rsidR="003E094A" w:rsidRPr="00DC4A4E">
        <w:t>434). 16.</w:t>
      </w:r>
      <w:r w:rsidR="005B0BA1" w:rsidRPr="00DC4A4E">
        <w:t>8% of respondents can be considered as distant fans as their residence is at least 50 km away from the town of the football club. Analysis was performed by Pearson’s Chi-square test, descriptive statistical methods, setting hypothesis and determining Gamma coefficient. Based on the performed analyses, there is no significant relationship between the division of consumers into different generations and the detected followers of the football club’s social media site. A relationship can be detected between the division of consumers into different generation groups and the fact whether they bought or received a gift from the web-shop or shop of the football club.</w:t>
      </w:r>
    </w:p>
    <w:p w14:paraId="4F98610E" w14:textId="7FC112C0" w:rsidR="008C05F7" w:rsidRPr="00DC4A4E" w:rsidRDefault="00101D43" w:rsidP="005C6338">
      <w:pPr>
        <w:pStyle w:val="HED-keywordsandJEL"/>
      </w:pPr>
      <w:r w:rsidRPr="00DC4A4E">
        <w:rPr>
          <w:b/>
        </w:rPr>
        <w:t>Keywords:</w:t>
      </w:r>
      <w:r w:rsidRPr="00DC4A4E">
        <w:t xml:space="preserve"> </w:t>
      </w:r>
      <w:r w:rsidR="005B0BA1" w:rsidRPr="00DC4A4E">
        <w:t>consumer behavior</w:t>
      </w:r>
      <w:r w:rsidR="008C05F7" w:rsidRPr="00DC4A4E">
        <w:t>;</w:t>
      </w:r>
      <w:r w:rsidR="005B0BA1" w:rsidRPr="00DC4A4E">
        <w:t xml:space="preserve"> consumer loyalty</w:t>
      </w:r>
      <w:r w:rsidR="008C05F7" w:rsidRPr="00DC4A4E">
        <w:t>; generations; sport consumption habits; sport tourism</w:t>
      </w:r>
    </w:p>
    <w:p w14:paraId="398B039C" w14:textId="3446CE9E" w:rsidR="00101D43" w:rsidRPr="00DC4A4E" w:rsidRDefault="00101D43" w:rsidP="005C6338">
      <w:pPr>
        <w:pStyle w:val="HED-keywordsandJEL"/>
      </w:pPr>
      <w:r w:rsidRPr="00DC4A4E">
        <w:rPr>
          <w:b/>
        </w:rPr>
        <w:t>JEL Classification:</w:t>
      </w:r>
      <w:r w:rsidRPr="00DC4A4E">
        <w:t xml:space="preserve"> </w:t>
      </w:r>
      <w:r w:rsidR="008C05F7" w:rsidRPr="00DC4A4E">
        <w:t>D12; L83</w:t>
      </w:r>
    </w:p>
    <w:p w14:paraId="3BF96A50" w14:textId="312E3598" w:rsidR="00101D43" w:rsidRPr="00DC4A4E" w:rsidRDefault="00101D43" w:rsidP="009F7957">
      <w:pPr>
        <w:pStyle w:val="HED-heading1"/>
      </w:pPr>
      <w:r w:rsidRPr="00DC4A4E">
        <w:rPr>
          <w:lang w:eastAsia="zh-CN"/>
        </w:rPr>
        <w:t xml:space="preserve">1. </w:t>
      </w:r>
      <w:r w:rsidRPr="00DC4A4E">
        <w:t>Introduction</w:t>
      </w:r>
    </w:p>
    <w:p w14:paraId="43D8ECF5" w14:textId="64CBE69A" w:rsidR="00F860EA" w:rsidRPr="00DC4A4E" w:rsidRDefault="00F860EA" w:rsidP="00DC4A4E">
      <w:pPr>
        <w:pStyle w:val="HED-text"/>
      </w:pPr>
      <w:r w:rsidRPr="00DC4A4E">
        <w:t>Fact that the consumers and their environment is constantly changing underlines the importance of a continuous research and analysis of the consumer. In order for marketing managers to be able to monitor and respond to important development trends, it is necessary to continuously address the target group of consumers, monitor their behavior on the market as well as the changes of factors that influence the consumer behavior. Consumer behavior includes the purchase, consumption or disposing the goods and services, involving the decision-making processes that precede these acts (</w:t>
      </w:r>
      <w:proofErr w:type="spellStart"/>
      <w:r w:rsidRPr="00DC4A4E">
        <w:t>Novotný</w:t>
      </w:r>
      <w:proofErr w:type="spellEnd"/>
      <w:r w:rsidRPr="00DC4A4E">
        <w:t>, 201</w:t>
      </w:r>
      <w:r w:rsidR="00BF07B3" w:rsidRPr="00DC4A4E">
        <w:t xml:space="preserve">5; </w:t>
      </w:r>
      <w:proofErr w:type="spellStart"/>
      <w:r w:rsidR="00BF07B3" w:rsidRPr="00DC4A4E">
        <w:t>Musová</w:t>
      </w:r>
      <w:proofErr w:type="spellEnd"/>
      <w:r w:rsidR="00BF07B3" w:rsidRPr="00DC4A4E">
        <w:t>, 2015)</w:t>
      </w:r>
      <w:r w:rsidRPr="00DC4A4E">
        <w:t>.</w:t>
      </w:r>
    </w:p>
    <w:p w14:paraId="74075768" w14:textId="60974C8E" w:rsidR="00F860EA" w:rsidRPr="00DC4A4E" w:rsidRDefault="00F860EA" w:rsidP="00F860EA">
      <w:pPr>
        <w:pStyle w:val="HED-text"/>
      </w:pPr>
      <w:r w:rsidRPr="00DC4A4E">
        <w:t>We live in an age of advertising. Advertisers use different types of advertising media to convince customers to buy the product or service. A good advertisement is funny, while it contains important information about the product, but never can be boring. Advertisements are a good tool to inform the customer about the new product of the company or the introduction of the redesigned version of the existing product. They also warn the attention of the customer for sales, discount</w:t>
      </w:r>
      <w:r w:rsidR="00D81DE8" w:rsidRPr="00DC4A4E">
        <w:t>s and the latest offers (</w:t>
      </w:r>
      <w:proofErr w:type="spellStart"/>
      <w:r w:rsidR="00D81DE8" w:rsidRPr="00DC4A4E">
        <w:t>Gerhat</w:t>
      </w:r>
      <w:proofErr w:type="spellEnd"/>
      <w:r w:rsidR="00D81DE8" w:rsidRPr="00DC4A4E">
        <w:t xml:space="preserve"> &amp;</w:t>
      </w:r>
      <w:r w:rsidRPr="00DC4A4E">
        <w:t xml:space="preserve"> </w:t>
      </w:r>
      <w:proofErr w:type="spellStart"/>
      <w:r w:rsidRPr="00DC4A4E">
        <w:t>Balázs</w:t>
      </w:r>
      <w:proofErr w:type="spellEnd"/>
      <w:r w:rsidRPr="00DC4A4E">
        <w:t>, 2018</w:t>
      </w:r>
      <w:r w:rsidR="00D81DE8" w:rsidRPr="00DC4A4E">
        <w:t xml:space="preserve">; </w:t>
      </w:r>
      <w:proofErr w:type="spellStart"/>
      <w:r w:rsidR="00D81DE8" w:rsidRPr="00DC4A4E">
        <w:t>Kitukutha</w:t>
      </w:r>
      <w:proofErr w:type="spellEnd"/>
      <w:r w:rsidR="00D81DE8" w:rsidRPr="00DC4A4E">
        <w:t xml:space="preserve"> &amp;</w:t>
      </w:r>
      <w:r w:rsidRPr="00DC4A4E">
        <w:t xml:space="preserve"> </w:t>
      </w:r>
      <w:proofErr w:type="spellStart"/>
      <w:r w:rsidRPr="00DC4A4E">
        <w:t>Widyatama</w:t>
      </w:r>
      <w:proofErr w:type="spellEnd"/>
      <w:r w:rsidRPr="00DC4A4E">
        <w:t>, 2020</w:t>
      </w:r>
      <w:r w:rsidR="00F7051D" w:rsidRPr="00DC4A4E">
        <w:t>; Bruns, 2020</w:t>
      </w:r>
      <w:r w:rsidRPr="00DC4A4E">
        <w:t>).</w:t>
      </w:r>
    </w:p>
    <w:p w14:paraId="54CAE37B" w14:textId="4B9F62D4" w:rsidR="00F860EA" w:rsidRPr="00DC4A4E" w:rsidRDefault="00F860EA" w:rsidP="00F860EA">
      <w:pPr>
        <w:pStyle w:val="HED-text"/>
      </w:pPr>
      <w:r w:rsidRPr="00DC4A4E">
        <w:lastRenderedPageBreak/>
        <w:t>Our research focuses on Generations X, Y and Z, who represent a relevant purchasing power in the society.</w:t>
      </w:r>
    </w:p>
    <w:p w14:paraId="45B37FF1" w14:textId="3061F606" w:rsidR="00516F37" w:rsidRPr="00DC4A4E" w:rsidRDefault="00516F37" w:rsidP="00516F37">
      <w:pPr>
        <w:pStyle w:val="HED-heading2"/>
      </w:pPr>
      <w:r w:rsidRPr="00DC4A4E">
        <w:t>1.1. Generations</w:t>
      </w:r>
    </w:p>
    <w:p w14:paraId="3C9F48AA" w14:textId="2E00CE2D" w:rsidR="00516F37" w:rsidRPr="00DC4A4E" w:rsidRDefault="00516F37" w:rsidP="00DC4A4E">
      <w:pPr>
        <w:pStyle w:val="HED-text"/>
      </w:pPr>
      <w:r w:rsidRPr="00DC4A4E">
        <w:t>Scientific literature provides different definitions and division of generations in terms of the individual’s age. To understand the generational differences in terms of social life, consumer behavior or lifestyle, it is necessary to define the term „generation”. The term refers to a group of individuals born at the same or similar time interval (no more than 15 years). They can be characterized with similar social features, in other words, a group of people united by age and values, surrounded by the same technological environment, accompanied by the same historical events and</w:t>
      </w:r>
      <w:r w:rsidR="004E4A0F" w:rsidRPr="00DC4A4E">
        <w:t xml:space="preserve"> experience (</w:t>
      </w:r>
      <w:proofErr w:type="spellStart"/>
      <w:r w:rsidR="004E4A0F" w:rsidRPr="00DC4A4E">
        <w:t>Zhitomirsky-Geffet</w:t>
      </w:r>
      <w:proofErr w:type="spellEnd"/>
      <w:r w:rsidR="004E4A0F" w:rsidRPr="00DC4A4E">
        <w:t xml:space="preserve"> &amp;</w:t>
      </w:r>
      <w:r w:rsidRPr="00DC4A4E">
        <w:t xml:space="preserve"> </w:t>
      </w:r>
      <w:proofErr w:type="spellStart"/>
      <w:r w:rsidRPr="00DC4A4E">
        <w:t>Blau</w:t>
      </w:r>
      <w:proofErr w:type="spellEnd"/>
      <w:r w:rsidRPr="00DC4A4E">
        <w:t xml:space="preserve">, 2016; </w:t>
      </w:r>
      <w:proofErr w:type="spellStart"/>
      <w:r w:rsidRPr="00DC4A4E">
        <w:t>Duffet</w:t>
      </w:r>
      <w:proofErr w:type="spellEnd"/>
      <w:r w:rsidRPr="00DC4A4E">
        <w:t>, 2017;</w:t>
      </w:r>
      <w:r w:rsidR="004E4A0F" w:rsidRPr="00DC4A4E">
        <w:t xml:space="preserve"> </w:t>
      </w:r>
      <w:proofErr w:type="spellStart"/>
      <w:r w:rsidR="004E4A0F" w:rsidRPr="00DC4A4E">
        <w:t>Okros</w:t>
      </w:r>
      <w:proofErr w:type="spellEnd"/>
      <w:r w:rsidR="004E4A0F" w:rsidRPr="00DC4A4E">
        <w:t xml:space="preserve">, 2020; </w:t>
      </w:r>
      <w:proofErr w:type="spellStart"/>
      <w:r w:rsidR="004E4A0F" w:rsidRPr="00DC4A4E">
        <w:t>Maciaszczyk</w:t>
      </w:r>
      <w:proofErr w:type="spellEnd"/>
      <w:r w:rsidR="004E4A0F" w:rsidRPr="00DC4A4E">
        <w:t xml:space="preserve"> &amp;</w:t>
      </w:r>
      <w:r w:rsidRPr="00DC4A4E">
        <w:t xml:space="preserve"> </w:t>
      </w:r>
      <w:proofErr w:type="spellStart"/>
      <w:r w:rsidRPr="00DC4A4E">
        <w:t>Kocot</w:t>
      </w:r>
      <w:proofErr w:type="spellEnd"/>
      <w:r w:rsidRPr="00DC4A4E">
        <w:t xml:space="preserve">, 2021). According to </w:t>
      </w:r>
      <w:proofErr w:type="spellStart"/>
      <w:r w:rsidRPr="00DC4A4E">
        <w:t>Llopis-Amoros</w:t>
      </w:r>
      <w:proofErr w:type="spellEnd"/>
      <w:r w:rsidRPr="00DC4A4E">
        <w:t xml:space="preserve"> et al. (2019), generations might be perceived as a group of individuals, where the members are connected by the same way of thinking, they experience the most important events of their personal biography in the same historical and cultural environment, who will attend educational institutions at the same time, will meet their life partner and choose profession during the same time interval. According to </w:t>
      </w:r>
      <w:proofErr w:type="spellStart"/>
      <w:r w:rsidRPr="00DC4A4E">
        <w:t>Berkup</w:t>
      </w:r>
      <w:proofErr w:type="spellEnd"/>
      <w:r w:rsidRPr="00DC4A4E">
        <w:t xml:space="preserve"> (2014), the generations fall under the following categories:</w:t>
      </w:r>
    </w:p>
    <w:p w14:paraId="53D13ED3" w14:textId="12F23490" w:rsidR="00516F37" w:rsidRPr="00DC4A4E" w:rsidRDefault="00516F37" w:rsidP="00516F37">
      <w:pPr>
        <w:pStyle w:val="HED-bulletlist"/>
        <w:ind w:left="425" w:hanging="425"/>
      </w:pPr>
      <w:r w:rsidRPr="00DC4A4E">
        <w:t>„Traditionalists” (born between 1900 and 1945);</w:t>
      </w:r>
    </w:p>
    <w:p w14:paraId="5FFE4498" w14:textId="0C270075" w:rsidR="00516F37" w:rsidRPr="00DC4A4E" w:rsidRDefault="00516F37" w:rsidP="00516F37">
      <w:pPr>
        <w:pStyle w:val="HED-bulletlist"/>
        <w:ind w:left="425" w:hanging="425"/>
      </w:pPr>
      <w:r w:rsidRPr="00DC4A4E">
        <w:t>„Baby Boomers” (1946–1964);</w:t>
      </w:r>
    </w:p>
    <w:p w14:paraId="36CE6DBF" w14:textId="462A6DE4" w:rsidR="00516F37" w:rsidRPr="00DC4A4E" w:rsidRDefault="00516F37" w:rsidP="00516F37">
      <w:pPr>
        <w:pStyle w:val="HED-bulletlist"/>
        <w:ind w:left="425" w:hanging="425"/>
      </w:pPr>
      <w:r w:rsidRPr="00DC4A4E">
        <w:t>„Generation X” (1965–1979);</w:t>
      </w:r>
    </w:p>
    <w:p w14:paraId="2BB356C9" w14:textId="3461A65C" w:rsidR="00516F37" w:rsidRPr="00DC4A4E" w:rsidRDefault="00E005B6" w:rsidP="00516F37">
      <w:pPr>
        <w:pStyle w:val="HED-bulletlist"/>
        <w:ind w:left="425" w:hanging="425"/>
      </w:pPr>
      <w:r w:rsidRPr="00DC4A4E">
        <w:t>„Generation Y” (1980–1994);</w:t>
      </w:r>
    </w:p>
    <w:p w14:paraId="7E2B420F" w14:textId="7A4667F9" w:rsidR="00E005B6" w:rsidRPr="00DC4A4E" w:rsidRDefault="00E005B6" w:rsidP="00E005B6">
      <w:pPr>
        <w:pStyle w:val="HED-bulletlist"/>
        <w:ind w:left="425" w:hanging="425"/>
      </w:pPr>
      <w:r w:rsidRPr="00DC4A4E">
        <w:t>„Generation Z” (1995</w:t>
      </w:r>
      <w:r w:rsidR="00F11BDD">
        <w:t>–</w:t>
      </w:r>
      <w:r w:rsidRPr="00DC4A4E">
        <w:t>2009).</w:t>
      </w:r>
    </w:p>
    <w:p w14:paraId="399ED81C" w14:textId="4C2E291E" w:rsidR="00E005B6" w:rsidRPr="00DC4A4E" w:rsidRDefault="00E005B6" w:rsidP="00E005B6">
      <w:pPr>
        <w:pStyle w:val="HED-text"/>
      </w:pPr>
      <w:r w:rsidRPr="00DC4A4E">
        <w:t>„Baby boomers” were followed by Generation X, who were influenced by the political atmosphere of the era. The war in Vietnam, fall of the Berlin Wall, end of and the Cold War, the era of Margaret Thatcher government influenced the culture and life of Generation X. They started with use the Internet as adults, and they used it in their everyday life for work purposes. Despite of being introduced the modern technology, they still prefer handwriting and face-to-face communication, especially in the case of informal relationships. They prefer meeting</w:t>
      </w:r>
      <w:r w:rsidR="004E4A0F" w:rsidRPr="00DC4A4E">
        <w:t xml:space="preserve"> their friends personally (Page &amp;</w:t>
      </w:r>
      <w:r w:rsidRPr="00DC4A4E">
        <w:t xml:space="preserve"> Williams, 2011). Compared to the previous generation, Generation X is open to diversity, learnt to accept religious differences, different sexual orientations, race, and ethnicity issues. The difference between these two generations is also reflected in expectations towards their parents. Generation X is the generation of planners, planned pregnancies and families, so it is not surprising that the life of Generation Y (children) was influenced by control of their parents. The parents of Generation Y supervise both school achievements and free time activities of their children. The key coordinates of Generation Y are electronic media, globalization of space and time. Generation Y is being brought up in a globalized world, where the lack of time and space is overcome by the development of information and communication technology. It is a generation brought up on technology and use smartphones, computers, e-mails, the Internet and social media in their everyday life. Generation Y lives in a virtual freedom, while having weak verbal skills. </w:t>
      </w:r>
      <w:r w:rsidRPr="00DC4A4E">
        <w:lastRenderedPageBreak/>
        <w:t>We can call them the first generation of consumers. As employees can be characterized as those, who enter their office in flip-flops and listen music on their iPods while working. They want to work, but their life is not about work. They would like to work better, faster and try to find creative forms of education. They are goal and deadline oriented, imagine fair bosses for themselves. Need for love and the need for belonging somewhere is still a priority in the life of this generation (</w:t>
      </w:r>
      <w:proofErr w:type="spellStart"/>
      <w:r w:rsidRPr="00DC4A4E">
        <w:t>Korcsmáros</w:t>
      </w:r>
      <w:proofErr w:type="spellEnd"/>
      <w:r w:rsidRPr="00DC4A4E">
        <w:t xml:space="preserve"> et al., 2019).</w:t>
      </w:r>
    </w:p>
    <w:p w14:paraId="53D9CBDF" w14:textId="60A48A32" w:rsidR="00E005B6" w:rsidRPr="00DC4A4E" w:rsidRDefault="00E005B6" w:rsidP="00E005B6">
      <w:pPr>
        <w:pStyle w:val="HED-text"/>
      </w:pPr>
      <w:r w:rsidRPr="00DC4A4E">
        <w:t>Group of individuals born between 1980–1994 is referred to as Generation Y. This generation is also called „Echo Generation”, „Nintendo Generation” or „</w:t>
      </w:r>
      <w:proofErr w:type="spellStart"/>
      <w:r w:rsidRPr="00DC4A4E">
        <w:t>Nexters</w:t>
      </w:r>
      <w:proofErr w:type="spellEnd"/>
      <w:r w:rsidRPr="00DC4A4E">
        <w:t>”. Generation Y is referred to those who were brought up on the Internet, electronic devices, and social media sites. According to DMR (Digital Marketing Ramblings), the representatives of this generation spend 18 hours on their smartphones weekly. This generation is more likely to be influenced by the Internet than the TV. They are more familiar with electronic devices than their parents or bosses. Most of them are registered on Facebook or Instagram or both of them. They are used for multitasking and use multiple channels. Unlike Generation X, they prefer online communication instea</w:t>
      </w:r>
      <w:r w:rsidR="004E4A0F" w:rsidRPr="00DC4A4E">
        <w:t>d of face-to-face contact (Page &amp;</w:t>
      </w:r>
      <w:r w:rsidRPr="00DC4A4E">
        <w:t xml:space="preserve"> Williams, 2011). Some of the facts provided by the Pew Research Center indicate that members of this generation are more likely to be university graduates and high is the probability that they will live with their parents until the age of 25</w:t>
      </w:r>
      <w:r w:rsidR="00FB6358">
        <w:t>–</w:t>
      </w:r>
      <w:r w:rsidRPr="00DC4A4E">
        <w:t>35 (</w:t>
      </w:r>
      <w:proofErr w:type="spellStart"/>
      <w:r w:rsidRPr="00DC4A4E">
        <w:t>Korcsmáros</w:t>
      </w:r>
      <w:proofErr w:type="spellEnd"/>
      <w:r w:rsidRPr="00DC4A4E">
        <w:t xml:space="preserve"> et al., 2019).</w:t>
      </w:r>
    </w:p>
    <w:p w14:paraId="3C7E589B" w14:textId="64D6D2FA" w:rsidR="004E4A0F" w:rsidRPr="00DC4A4E" w:rsidRDefault="00E005B6" w:rsidP="00226199">
      <w:pPr>
        <w:pStyle w:val="HED-text"/>
      </w:pPr>
      <w:r w:rsidRPr="00DC4A4E">
        <w:t xml:space="preserve">Generation born between 1995 and 2009 has a distinctive name after the last letter of the alphabet. The generation proceeding them will be called the Alfa. The arrival of Generation Z meant the end of clearly defined tasks and traditions, which had been accepted automatically until now. Scientific literature or studies refer to Generation Z as the Zeds, Zees, </w:t>
      </w:r>
      <w:proofErr w:type="spellStart"/>
      <w:r w:rsidRPr="00DC4A4E">
        <w:t>bubblewrap</w:t>
      </w:r>
      <w:proofErr w:type="spellEnd"/>
      <w:r w:rsidRPr="00DC4A4E">
        <w:t xml:space="preserve"> Kids, The New Millennials, Digital Natives, Wired Generation, Screenag</w:t>
      </w:r>
      <w:r w:rsidR="004E4A0F" w:rsidRPr="00DC4A4E">
        <w:t xml:space="preserve">ers or </w:t>
      </w:r>
      <w:proofErr w:type="spellStart"/>
      <w:r w:rsidR="004E4A0F" w:rsidRPr="00DC4A4E">
        <w:t>iGen</w:t>
      </w:r>
      <w:proofErr w:type="spellEnd"/>
      <w:r w:rsidR="004E4A0F" w:rsidRPr="00DC4A4E">
        <w:t xml:space="preserve"> (</w:t>
      </w:r>
      <w:proofErr w:type="spellStart"/>
      <w:r w:rsidR="004E4A0F" w:rsidRPr="00DC4A4E">
        <w:t>Zhitomirsky-Geffet</w:t>
      </w:r>
      <w:proofErr w:type="spellEnd"/>
      <w:r w:rsidR="004E4A0F" w:rsidRPr="00DC4A4E">
        <w:t xml:space="preserve"> &amp;</w:t>
      </w:r>
      <w:r w:rsidRPr="00DC4A4E">
        <w:t xml:space="preserve"> </w:t>
      </w:r>
      <w:proofErr w:type="spellStart"/>
      <w:r w:rsidRPr="00DC4A4E">
        <w:t>Blau</w:t>
      </w:r>
      <w:proofErr w:type="spellEnd"/>
      <w:r w:rsidRPr="00DC4A4E">
        <w:t xml:space="preserve">, 2016; </w:t>
      </w:r>
      <w:proofErr w:type="spellStart"/>
      <w:r w:rsidRPr="00DC4A4E">
        <w:t>Duffet</w:t>
      </w:r>
      <w:proofErr w:type="spellEnd"/>
      <w:r w:rsidRPr="00DC4A4E">
        <w:t>, 2017;</w:t>
      </w:r>
      <w:r w:rsidR="004E4A0F" w:rsidRPr="00DC4A4E">
        <w:t xml:space="preserve"> </w:t>
      </w:r>
      <w:proofErr w:type="spellStart"/>
      <w:r w:rsidR="004E4A0F" w:rsidRPr="00DC4A4E">
        <w:t>Okros</w:t>
      </w:r>
      <w:proofErr w:type="spellEnd"/>
      <w:r w:rsidR="004E4A0F" w:rsidRPr="00DC4A4E">
        <w:t xml:space="preserve">, 2020; </w:t>
      </w:r>
      <w:proofErr w:type="spellStart"/>
      <w:r w:rsidR="004E4A0F" w:rsidRPr="00DC4A4E">
        <w:t>Maciaszczyk</w:t>
      </w:r>
      <w:proofErr w:type="spellEnd"/>
      <w:r w:rsidR="004E4A0F" w:rsidRPr="00DC4A4E">
        <w:t xml:space="preserve"> &amp; </w:t>
      </w:r>
      <w:proofErr w:type="spellStart"/>
      <w:r w:rsidRPr="00DC4A4E">
        <w:t>Kocot</w:t>
      </w:r>
      <w:proofErr w:type="spellEnd"/>
      <w:r w:rsidRPr="00DC4A4E">
        <w:t xml:space="preserve">, 2021). World Health </w:t>
      </w:r>
      <w:r w:rsidR="008813C2" w:rsidRPr="00DC4A4E">
        <w:t>Organization</w:t>
      </w:r>
      <w:r w:rsidRPr="00DC4A4E">
        <w:t xml:space="preserve"> has revealed that this generation has passed through more different life phases than the generations before them. Representatives of Generation Z enter different phases of their life earlier than expected, which means that they are growing up faster. Differences are visible in the way of bringing up children and looking after the household. The life of Generation Z was also determined by significant events. e.g., terrorist attacks, which started on 11th September 2001 with an attack on the Twin Towers in New York. These served as a basis for war against terrorism and the global unrest between East and West. One of the characteristic features of Generation Z is that they have been surrounded by technology since their childhood e.g., laptops, tablets, smartphones, iPhone, iPads, etc. Technological development is not the only factor that has influenced this generati</w:t>
      </w:r>
      <w:r w:rsidR="002169C2" w:rsidRPr="00DC4A4E">
        <w:t>on (</w:t>
      </w:r>
      <w:proofErr w:type="spellStart"/>
      <w:r w:rsidR="004E4A0F" w:rsidRPr="00DC4A4E">
        <w:t>Nadanyiova</w:t>
      </w:r>
      <w:proofErr w:type="spellEnd"/>
      <w:r w:rsidR="004E4A0F" w:rsidRPr="00DC4A4E">
        <w:t xml:space="preserve"> et al.</w:t>
      </w:r>
      <w:r w:rsidRPr="00DC4A4E">
        <w:t>, 2020). Generation Z has become far more financially conscious than the generations before. The research conducted in the USA present a situation, where the members of Generation Z would like to buy something. They are willing to postpone the purchase of product until they compare the prices on the Internet and choose the best price in relation to quality. (</w:t>
      </w:r>
      <w:r w:rsidR="004E4A0F" w:rsidRPr="00DC4A4E">
        <w:t>Williams, 2015</w:t>
      </w:r>
      <w:r w:rsidRPr="00DC4A4E">
        <w:t>).</w:t>
      </w:r>
    </w:p>
    <w:p w14:paraId="2A855293" w14:textId="7E87F326" w:rsidR="00E005B6" w:rsidRPr="00DC4A4E" w:rsidRDefault="00E005B6" w:rsidP="00E005B6">
      <w:pPr>
        <w:pStyle w:val="HED-heading2"/>
      </w:pPr>
      <w:r w:rsidRPr="00DC4A4E">
        <w:t>1.2.</w:t>
      </w:r>
      <w:r w:rsidRPr="00DC4A4E">
        <w:tab/>
        <w:t xml:space="preserve">Consumer </w:t>
      </w:r>
      <w:r w:rsidR="00764333">
        <w:t>B</w:t>
      </w:r>
      <w:r w:rsidRPr="00DC4A4E">
        <w:t>ehavior</w:t>
      </w:r>
    </w:p>
    <w:p w14:paraId="1CE31721" w14:textId="7BE4262F" w:rsidR="00E005B6" w:rsidRPr="00DC4A4E" w:rsidRDefault="00E005B6" w:rsidP="004E4A0F">
      <w:pPr>
        <w:pStyle w:val="HED-text"/>
        <w:widowControl w:val="0"/>
      </w:pPr>
      <w:r w:rsidRPr="00DC4A4E">
        <w:t xml:space="preserve">„Consumer behavior refers to all activities conducted in the process of purchasing and </w:t>
      </w:r>
      <w:r w:rsidRPr="00DC4A4E">
        <w:lastRenderedPageBreak/>
        <w:t xml:space="preserve">using products and services (choosing the product and the outlet) that result in increasing consumer satisfaction” </w:t>
      </w:r>
      <w:r w:rsidR="00D81DE8" w:rsidRPr="00DC4A4E">
        <w:t>(</w:t>
      </w:r>
      <w:proofErr w:type="spellStart"/>
      <w:r w:rsidR="00D81DE8" w:rsidRPr="00DC4A4E">
        <w:t>Gáti</w:t>
      </w:r>
      <w:proofErr w:type="spellEnd"/>
      <w:r w:rsidR="00D81DE8" w:rsidRPr="00DC4A4E">
        <w:t xml:space="preserve"> et al.</w:t>
      </w:r>
      <w:r w:rsidRPr="00DC4A4E">
        <w:t>, 2018). The concept of consumer behavior includes also the experience related to use of the product and how we share our experience and opinion about the product with othe</w:t>
      </w:r>
      <w:r w:rsidR="004E4A0F" w:rsidRPr="00DC4A4E">
        <w:t>rs (Shaw et al.</w:t>
      </w:r>
      <w:r w:rsidRPr="00DC4A4E">
        <w:t>, 2017). Consumer behavior is a type of behavior shown by a consumer when looking for purchasing, using, evaluating products and services, while expecting the satisfaction of their desires</w:t>
      </w:r>
      <w:r w:rsidR="00764333">
        <w:t>.</w:t>
      </w:r>
      <w:r w:rsidRPr="00DC4A4E">
        <w:t xml:space="preserve"> (</w:t>
      </w:r>
      <w:proofErr w:type="spellStart"/>
      <w:r w:rsidRPr="00DC4A4E">
        <w:t>Repanova</w:t>
      </w:r>
      <w:proofErr w:type="spellEnd"/>
      <w:r w:rsidR="00764333">
        <w:t xml:space="preserve"> &amp;</w:t>
      </w:r>
      <w:r w:rsidRPr="00DC4A4E">
        <w:t xml:space="preserve"> </w:t>
      </w:r>
      <w:proofErr w:type="spellStart"/>
      <w:r w:rsidRPr="00DC4A4E">
        <w:t>Profietova</w:t>
      </w:r>
      <w:proofErr w:type="spellEnd"/>
      <w:r w:rsidRPr="00DC4A4E">
        <w:t xml:space="preserve">, 2018; </w:t>
      </w:r>
      <w:proofErr w:type="spellStart"/>
      <w:r w:rsidRPr="00DC4A4E">
        <w:t>Poliačiková</w:t>
      </w:r>
      <w:proofErr w:type="spellEnd"/>
      <w:r w:rsidRPr="00DC4A4E">
        <w:t>, 2017; Benda-</w:t>
      </w:r>
      <w:proofErr w:type="spellStart"/>
      <w:r w:rsidRPr="00DC4A4E">
        <w:t>Prokeinová</w:t>
      </w:r>
      <w:proofErr w:type="spellEnd"/>
      <w:r w:rsidRPr="00DC4A4E">
        <w:t xml:space="preserve"> et al., 2017;</w:t>
      </w:r>
      <w:r w:rsidR="004E4A0F" w:rsidRPr="00DC4A4E">
        <w:t xml:space="preserve"> </w:t>
      </w:r>
      <w:proofErr w:type="spellStart"/>
      <w:r w:rsidR="004E4A0F" w:rsidRPr="00DC4A4E">
        <w:t>Loucanova</w:t>
      </w:r>
      <w:proofErr w:type="spellEnd"/>
      <w:r w:rsidR="004E4A0F" w:rsidRPr="00DC4A4E">
        <w:t xml:space="preserve"> et al.</w:t>
      </w:r>
      <w:r w:rsidRPr="00DC4A4E">
        <w:t>, 2018</w:t>
      </w:r>
      <w:r w:rsidR="004E4A0F" w:rsidRPr="00DC4A4E">
        <w:t xml:space="preserve">, Mura &amp; </w:t>
      </w:r>
      <w:proofErr w:type="spellStart"/>
      <w:r w:rsidRPr="00DC4A4E">
        <w:t>Kajzar</w:t>
      </w:r>
      <w:proofErr w:type="spellEnd"/>
      <w:r w:rsidRPr="00DC4A4E">
        <w:t>, 2019</w:t>
      </w:r>
      <w:r w:rsidR="00951A2B" w:rsidRPr="00DC4A4E">
        <w:t>; Prince et al., 2020</w:t>
      </w:r>
      <w:r w:rsidRPr="00DC4A4E">
        <w:t>)</w:t>
      </w:r>
    </w:p>
    <w:p w14:paraId="4EFB1059" w14:textId="7EE64348" w:rsidR="00E005B6" w:rsidRPr="00DC4A4E" w:rsidRDefault="00E005B6" w:rsidP="00E005B6">
      <w:pPr>
        <w:pStyle w:val="HED-text"/>
      </w:pPr>
      <w:r w:rsidRPr="00DC4A4E">
        <w:t>The intrinsic or psychological factors are the most difficult to define. These are individual characteristics that shape the perception of the consumer and the integration into the environment. The most important intrinsic factors are personality, sense, motivation and attitude. They also include the learnt and developed skills. (</w:t>
      </w:r>
      <w:proofErr w:type="spellStart"/>
      <w:r w:rsidRPr="00DC4A4E">
        <w:t>Repanov</w:t>
      </w:r>
      <w:r w:rsidR="004E4A0F" w:rsidRPr="00DC4A4E">
        <w:t>a</w:t>
      </w:r>
      <w:proofErr w:type="spellEnd"/>
      <w:r w:rsidR="004E4A0F" w:rsidRPr="00DC4A4E">
        <w:t xml:space="preserve"> &amp; </w:t>
      </w:r>
      <w:proofErr w:type="spellStart"/>
      <w:r w:rsidR="004E4A0F" w:rsidRPr="00DC4A4E">
        <w:t>Profietova</w:t>
      </w:r>
      <w:proofErr w:type="spellEnd"/>
      <w:r w:rsidR="004E4A0F" w:rsidRPr="00DC4A4E">
        <w:t xml:space="preserve">, 2018; </w:t>
      </w:r>
      <w:proofErr w:type="spellStart"/>
      <w:r w:rsidR="004E4A0F" w:rsidRPr="00DC4A4E">
        <w:t>Loucanova</w:t>
      </w:r>
      <w:proofErr w:type="spellEnd"/>
      <w:r w:rsidR="004E4A0F" w:rsidRPr="00DC4A4E">
        <w:t xml:space="preserve"> et al.</w:t>
      </w:r>
      <w:r w:rsidRPr="00DC4A4E">
        <w:t>, 2018</w:t>
      </w:r>
      <w:r w:rsidR="004E4A0F" w:rsidRPr="00DC4A4E">
        <w:t xml:space="preserve">; </w:t>
      </w:r>
      <w:proofErr w:type="spellStart"/>
      <w:r w:rsidR="004E4A0F" w:rsidRPr="00DC4A4E">
        <w:t>Matijová</w:t>
      </w:r>
      <w:proofErr w:type="spellEnd"/>
      <w:r w:rsidR="004E4A0F" w:rsidRPr="00DC4A4E">
        <w:t xml:space="preserve"> et al.</w:t>
      </w:r>
      <w:r w:rsidRPr="00DC4A4E">
        <w:t>, 2019)</w:t>
      </w:r>
    </w:p>
    <w:p w14:paraId="10AF0B7D" w14:textId="7F001A47" w:rsidR="00E005B6" w:rsidRPr="00DC4A4E" w:rsidRDefault="00E005B6" w:rsidP="00E005B6">
      <w:pPr>
        <w:pStyle w:val="HED-text"/>
      </w:pPr>
      <w:r w:rsidRPr="00DC4A4E">
        <w:t>Not only the everyday experience but also the research results show that mostly women are the engines of consumption in the family, they have positive attitude to shopping. This assumption is also questioned b</w:t>
      </w:r>
      <w:r w:rsidR="00D81DE8" w:rsidRPr="00DC4A4E">
        <w:t>y male consumers (Bezuidenhout et al.</w:t>
      </w:r>
      <w:r w:rsidRPr="00DC4A4E">
        <w:t>, 2016; Delong et al., 2017;</w:t>
      </w:r>
      <w:r w:rsidR="00D81DE8" w:rsidRPr="00DC4A4E">
        <w:t xml:space="preserve"> Hassim &amp;</w:t>
      </w:r>
      <w:r w:rsidRPr="00DC4A4E">
        <w:t xml:space="preserve"> Zahid, 2017; </w:t>
      </w:r>
      <w:r w:rsidR="00D81DE8" w:rsidRPr="00DC4A4E">
        <w:t>Chacko et al.</w:t>
      </w:r>
      <w:r w:rsidRPr="00DC4A4E">
        <w:t>, 2019).</w:t>
      </w:r>
    </w:p>
    <w:p w14:paraId="6ABA66CD" w14:textId="2DB52422" w:rsidR="00E005B6" w:rsidRPr="00DC4A4E" w:rsidRDefault="00E005B6" w:rsidP="00E005B6">
      <w:pPr>
        <w:pStyle w:val="HED-text"/>
      </w:pPr>
      <w:r w:rsidRPr="00DC4A4E">
        <w:t>Factors influencing consumer behavior can be divided into two major groups: social factors and psychological factors. Social factors affecting consumer behavior focus on the relationship between people that are essential in terms of the purchasing process. These relationships are the family, social status reference groups, which are related to consumers (</w:t>
      </w:r>
      <w:proofErr w:type="spellStart"/>
      <w:r w:rsidRPr="00DC4A4E">
        <w:t>Biscaia</w:t>
      </w:r>
      <w:proofErr w:type="spellEnd"/>
      <w:r w:rsidRPr="00DC4A4E">
        <w:t xml:space="preserve"> et al., 2012;</w:t>
      </w:r>
      <w:r w:rsidR="004E4A0F" w:rsidRPr="00DC4A4E">
        <w:t xml:space="preserve"> Sudbury-Riley et al.</w:t>
      </w:r>
      <w:r w:rsidRPr="00DC4A4E">
        <w:t xml:space="preserve">, 2014; </w:t>
      </w:r>
      <w:proofErr w:type="spellStart"/>
      <w:r w:rsidRPr="00DC4A4E">
        <w:t>Çevik</w:t>
      </w:r>
      <w:proofErr w:type="spellEnd"/>
      <w:r w:rsidRPr="00DC4A4E">
        <w:t>, 2020</w:t>
      </w:r>
      <w:r w:rsidR="00085739" w:rsidRPr="00DC4A4E">
        <w:t xml:space="preserve">; </w:t>
      </w:r>
      <w:proofErr w:type="spellStart"/>
      <w:r w:rsidR="00085739" w:rsidRPr="00DC4A4E">
        <w:t>Baša</w:t>
      </w:r>
      <w:proofErr w:type="spellEnd"/>
      <w:r w:rsidR="00085739" w:rsidRPr="00DC4A4E">
        <w:t xml:space="preserve"> &amp; </w:t>
      </w:r>
      <w:proofErr w:type="spellStart"/>
      <w:r w:rsidR="00085739" w:rsidRPr="00DC4A4E">
        <w:t>Sánta</w:t>
      </w:r>
      <w:proofErr w:type="spellEnd"/>
      <w:r w:rsidR="00085739" w:rsidRPr="00DC4A4E">
        <w:t>, 2021</w:t>
      </w:r>
      <w:r w:rsidRPr="00DC4A4E">
        <w:t>).</w:t>
      </w:r>
    </w:p>
    <w:p w14:paraId="0801EB15" w14:textId="6A0C5A95" w:rsidR="00E005B6" w:rsidRPr="00DC4A4E" w:rsidRDefault="00E005B6" w:rsidP="00E005B6">
      <w:pPr>
        <w:pStyle w:val="HED-text"/>
      </w:pPr>
      <w:r w:rsidRPr="00DC4A4E">
        <w:t>Since people living in the same household manage the available finances together, the financial decisions will be taken together with other members of the household, where each member is participating. The consumer behavior of the family as a unit is influenced by what kind of members the family is made up.</w:t>
      </w:r>
    </w:p>
    <w:p w14:paraId="69FE12F3" w14:textId="77777777" w:rsidR="00FF4FBA" w:rsidRPr="00DC4A4E" w:rsidRDefault="00FF4FBA" w:rsidP="00FF4FBA">
      <w:pPr>
        <w:pStyle w:val="HED-text"/>
      </w:pPr>
      <w:r w:rsidRPr="00DC4A4E">
        <w:t>Psychological factors influencing consumer behavior</w:t>
      </w:r>
    </w:p>
    <w:p w14:paraId="2AAD8765" w14:textId="77777777" w:rsidR="00FF4FBA" w:rsidRPr="00DC4A4E" w:rsidRDefault="00FF4FBA" w:rsidP="00FF4FBA">
      <w:pPr>
        <w:pStyle w:val="HED-bulletlist"/>
        <w:ind w:left="425" w:hanging="425"/>
      </w:pPr>
      <w:r w:rsidRPr="00DC4A4E">
        <w:t xml:space="preserve">Perception – creating a direct connection between the external environment and the personality is called perception. </w:t>
      </w:r>
    </w:p>
    <w:p w14:paraId="2129E93D" w14:textId="41FD0D9B" w:rsidR="00FF4FBA" w:rsidRPr="00DC4A4E" w:rsidRDefault="00FF4FBA" w:rsidP="00FF4FBA">
      <w:pPr>
        <w:pStyle w:val="HED-bulletlist"/>
        <w:ind w:left="425" w:hanging="425"/>
      </w:pPr>
      <w:r w:rsidRPr="00DC4A4E">
        <w:t>Learning theory – learning is a process that results in the change of performance, behavior or knowledge.</w:t>
      </w:r>
    </w:p>
    <w:p w14:paraId="6B35303F" w14:textId="23FFCECC" w:rsidR="00FF4FBA" w:rsidRPr="00DC4A4E" w:rsidRDefault="00FF4FBA" w:rsidP="00FF4FBA">
      <w:pPr>
        <w:pStyle w:val="HED-bulletlist"/>
        <w:ind w:left="425" w:hanging="425"/>
      </w:pPr>
      <w:r w:rsidRPr="00DC4A4E">
        <w:t>Motivation and personality – there are three stages of motivation. The first influences the behavior. The second stage is behavior driven by instincts and needs. The third is achieving goals e.g., if we are hungry, will go shopping.</w:t>
      </w:r>
    </w:p>
    <w:p w14:paraId="76FBF4A5" w14:textId="36468375" w:rsidR="00FF4FBA" w:rsidRPr="00DC4A4E" w:rsidRDefault="00FF4FBA" w:rsidP="00FF4FBA">
      <w:pPr>
        <w:pStyle w:val="HED-bulletlist"/>
        <w:ind w:left="425" w:hanging="425"/>
      </w:pPr>
      <w:r w:rsidRPr="00DC4A4E">
        <w:t>Attitude – those positive and negative emotions assigned to different objects or groups of people are c</w:t>
      </w:r>
      <w:r w:rsidR="004E4A0F" w:rsidRPr="00DC4A4E">
        <w:t>alled attitudes (Sudbury-Riley et al.</w:t>
      </w:r>
      <w:r w:rsidRPr="00DC4A4E">
        <w:t>, 2014).</w:t>
      </w:r>
    </w:p>
    <w:p w14:paraId="2FA7E758" w14:textId="3B88C74E" w:rsidR="00FF4FBA" w:rsidRPr="00DC4A4E" w:rsidRDefault="009D1DC4" w:rsidP="00FF4FBA">
      <w:pPr>
        <w:pStyle w:val="HED-text"/>
      </w:pPr>
      <w:r w:rsidRPr="00DC4A4E">
        <w:t xml:space="preserve">Since consumer behavior is not constant, it is very difficult to define or describe the phenomenon. The consumers are exposed to external factors that might influence their decision-making any time. Examining the consumer behavior is addressed by marketing specialists. The increasing number of customers does not allow to examine all the individuals separately, they examine the market asking several questions. This is called the seven „O” of the market </w:t>
      </w:r>
      <w:r w:rsidR="000166C9" w:rsidRPr="00DC4A4E">
        <w:t>(Kotler et al., 2021)</w:t>
      </w:r>
      <w:r w:rsidR="00390341">
        <w:t>.</w:t>
      </w:r>
    </w:p>
    <w:p w14:paraId="2A5A82C5" w14:textId="5293F166" w:rsidR="000166C9" w:rsidRPr="00DC4A4E" w:rsidRDefault="000166C9" w:rsidP="00DC4A4E">
      <w:pPr>
        <w:pStyle w:val="HED-tablecaption"/>
      </w:pPr>
      <w:r w:rsidRPr="00DC4A4E">
        <w:rPr>
          <w:b/>
          <w:bCs/>
        </w:rPr>
        <w:lastRenderedPageBreak/>
        <w:t>Table 1.</w:t>
      </w:r>
      <w:r w:rsidRPr="00DC4A4E">
        <w:t xml:space="preserve"> Seven „O” of the market</w:t>
      </w:r>
      <w:r w:rsidR="004E4A0F" w:rsidRPr="00DC4A4E">
        <w:t>. Based on (</w:t>
      </w:r>
      <w:r w:rsidRPr="00DC4A4E">
        <w:t>Kotler et al., 2021)</w:t>
      </w:r>
    </w:p>
    <w:tbl>
      <w:tblPr>
        <w:tblW w:w="4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55"/>
        <w:gridCol w:w="1498"/>
      </w:tblGrid>
      <w:tr w:rsidR="000166C9" w:rsidRPr="00DC4A4E" w14:paraId="5A5CABBE" w14:textId="77777777" w:rsidTr="00460223">
        <w:trPr>
          <w:trHeight w:val="236"/>
          <w:jc w:val="center"/>
        </w:trPr>
        <w:tc>
          <w:tcPr>
            <w:tcW w:w="2755" w:type="dxa"/>
            <w:shd w:val="clear" w:color="auto" w:fill="auto"/>
            <w:noWrap/>
            <w:vAlign w:val="bottom"/>
            <w:hideMark/>
          </w:tcPr>
          <w:p w14:paraId="6D579C1A" w14:textId="4078C71B" w:rsidR="000166C9" w:rsidRPr="00DC4A4E" w:rsidRDefault="000166C9" w:rsidP="00DC4A4E">
            <w:pPr>
              <w:pStyle w:val="HED-tablebody"/>
              <w:jc w:val="left"/>
            </w:pPr>
            <w:r w:rsidRPr="00DC4A4E">
              <w:t>Who make up the market?</w:t>
            </w:r>
          </w:p>
        </w:tc>
        <w:tc>
          <w:tcPr>
            <w:tcW w:w="1498" w:type="dxa"/>
            <w:shd w:val="clear" w:color="auto" w:fill="auto"/>
            <w:noWrap/>
            <w:vAlign w:val="bottom"/>
            <w:hideMark/>
          </w:tcPr>
          <w:p w14:paraId="550C77CC" w14:textId="23D49415" w:rsidR="000166C9" w:rsidRPr="00DC4A4E" w:rsidRDefault="000166C9" w:rsidP="00DC4A4E">
            <w:pPr>
              <w:pStyle w:val="HED-tablebody"/>
              <w:jc w:val="left"/>
              <w:rPr>
                <w:b/>
                <w:bCs/>
              </w:rPr>
            </w:pPr>
            <w:r w:rsidRPr="00DC4A4E">
              <w:rPr>
                <w:b/>
                <w:bCs/>
              </w:rPr>
              <w:t>Occupants</w:t>
            </w:r>
          </w:p>
        </w:tc>
      </w:tr>
      <w:tr w:rsidR="000166C9" w:rsidRPr="00DC4A4E" w14:paraId="4DC76353" w14:textId="77777777" w:rsidTr="00460223">
        <w:trPr>
          <w:trHeight w:val="236"/>
          <w:jc w:val="center"/>
        </w:trPr>
        <w:tc>
          <w:tcPr>
            <w:tcW w:w="2755" w:type="dxa"/>
            <w:shd w:val="clear" w:color="auto" w:fill="auto"/>
            <w:noWrap/>
            <w:vAlign w:val="bottom"/>
            <w:hideMark/>
          </w:tcPr>
          <w:p w14:paraId="303581AC" w14:textId="573E6EE7" w:rsidR="000166C9" w:rsidRPr="00DC4A4E" w:rsidRDefault="000166C9" w:rsidP="00DC4A4E">
            <w:pPr>
              <w:pStyle w:val="HED-tablebody"/>
              <w:jc w:val="left"/>
            </w:pPr>
            <w:r w:rsidRPr="00DC4A4E">
              <w:t>What do they buy?</w:t>
            </w:r>
          </w:p>
        </w:tc>
        <w:tc>
          <w:tcPr>
            <w:tcW w:w="1498" w:type="dxa"/>
            <w:shd w:val="clear" w:color="auto" w:fill="auto"/>
            <w:noWrap/>
            <w:vAlign w:val="bottom"/>
            <w:hideMark/>
          </w:tcPr>
          <w:p w14:paraId="0FBC81AC" w14:textId="0D164E42" w:rsidR="000166C9" w:rsidRPr="00DC4A4E" w:rsidRDefault="000166C9" w:rsidP="00DC4A4E">
            <w:pPr>
              <w:pStyle w:val="HED-tablebody"/>
              <w:jc w:val="left"/>
              <w:rPr>
                <w:b/>
                <w:bCs/>
              </w:rPr>
            </w:pPr>
            <w:r w:rsidRPr="00DC4A4E">
              <w:rPr>
                <w:b/>
                <w:bCs/>
              </w:rPr>
              <w:t>Objects</w:t>
            </w:r>
          </w:p>
        </w:tc>
      </w:tr>
      <w:tr w:rsidR="000166C9" w:rsidRPr="00DC4A4E" w14:paraId="6BF3D002" w14:textId="77777777" w:rsidTr="00460223">
        <w:trPr>
          <w:trHeight w:val="236"/>
          <w:jc w:val="center"/>
        </w:trPr>
        <w:tc>
          <w:tcPr>
            <w:tcW w:w="2755" w:type="dxa"/>
            <w:shd w:val="clear" w:color="auto" w:fill="auto"/>
            <w:noWrap/>
            <w:vAlign w:val="bottom"/>
            <w:hideMark/>
          </w:tcPr>
          <w:p w14:paraId="753A37B3" w14:textId="25F36D70" w:rsidR="000166C9" w:rsidRPr="00DC4A4E" w:rsidRDefault="000166C9" w:rsidP="00DC4A4E">
            <w:pPr>
              <w:pStyle w:val="HED-tablebody"/>
              <w:jc w:val="left"/>
            </w:pPr>
            <w:r w:rsidRPr="00DC4A4E">
              <w:t>Why do they buy?</w:t>
            </w:r>
          </w:p>
        </w:tc>
        <w:tc>
          <w:tcPr>
            <w:tcW w:w="1498" w:type="dxa"/>
            <w:shd w:val="clear" w:color="auto" w:fill="auto"/>
            <w:noWrap/>
            <w:vAlign w:val="bottom"/>
            <w:hideMark/>
          </w:tcPr>
          <w:p w14:paraId="5577B1FB" w14:textId="3D3C5261" w:rsidR="000166C9" w:rsidRPr="00DC4A4E" w:rsidRDefault="000166C9" w:rsidP="00DC4A4E">
            <w:pPr>
              <w:pStyle w:val="HED-tablebody"/>
              <w:jc w:val="left"/>
              <w:rPr>
                <w:b/>
                <w:bCs/>
              </w:rPr>
            </w:pPr>
            <w:r w:rsidRPr="00DC4A4E">
              <w:rPr>
                <w:b/>
                <w:bCs/>
              </w:rPr>
              <w:t>Objectives</w:t>
            </w:r>
          </w:p>
        </w:tc>
      </w:tr>
      <w:tr w:rsidR="000166C9" w:rsidRPr="00DC4A4E" w14:paraId="4BBE9FE7" w14:textId="77777777" w:rsidTr="00460223">
        <w:trPr>
          <w:trHeight w:val="236"/>
          <w:jc w:val="center"/>
        </w:trPr>
        <w:tc>
          <w:tcPr>
            <w:tcW w:w="2755" w:type="dxa"/>
            <w:shd w:val="clear" w:color="auto" w:fill="auto"/>
            <w:noWrap/>
            <w:vAlign w:val="bottom"/>
            <w:hideMark/>
          </w:tcPr>
          <w:p w14:paraId="037FD72A" w14:textId="682717C9" w:rsidR="000166C9" w:rsidRPr="00DC4A4E" w:rsidRDefault="000166C9" w:rsidP="00DC4A4E">
            <w:pPr>
              <w:pStyle w:val="HED-tablebody"/>
              <w:jc w:val="left"/>
            </w:pPr>
            <w:r w:rsidRPr="00DC4A4E">
              <w:t>Who is participating in buying?</w:t>
            </w:r>
          </w:p>
        </w:tc>
        <w:tc>
          <w:tcPr>
            <w:tcW w:w="1498" w:type="dxa"/>
            <w:shd w:val="clear" w:color="auto" w:fill="auto"/>
            <w:noWrap/>
            <w:vAlign w:val="bottom"/>
            <w:hideMark/>
          </w:tcPr>
          <w:p w14:paraId="5A6E123D" w14:textId="7E33BF81" w:rsidR="000166C9" w:rsidRPr="00DC4A4E" w:rsidRDefault="000166C9" w:rsidP="00DC4A4E">
            <w:pPr>
              <w:pStyle w:val="HED-tablebody"/>
              <w:jc w:val="left"/>
              <w:rPr>
                <w:b/>
                <w:bCs/>
              </w:rPr>
            </w:pPr>
            <w:r w:rsidRPr="00DC4A4E">
              <w:rPr>
                <w:b/>
                <w:bCs/>
              </w:rPr>
              <w:t>Organization</w:t>
            </w:r>
          </w:p>
        </w:tc>
      </w:tr>
      <w:tr w:rsidR="000166C9" w:rsidRPr="00DC4A4E" w14:paraId="5F3DD448" w14:textId="77777777" w:rsidTr="00460223">
        <w:trPr>
          <w:trHeight w:val="236"/>
          <w:jc w:val="center"/>
        </w:trPr>
        <w:tc>
          <w:tcPr>
            <w:tcW w:w="2755" w:type="dxa"/>
            <w:shd w:val="clear" w:color="auto" w:fill="auto"/>
            <w:noWrap/>
            <w:vAlign w:val="bottom"/>
            <w:hideMark/>
          </w:tcPr>
          <w:p w14:paraId="6B09306A" w14:textId="6A94292D" w:rsidR="000166C9" w:rsidRPr="00DC4A4E" w:rsidRDefault="000166C9" w:rsidP="00DC4A4E">
            <w:pPr>
              <w:pStyle w:val="HED-tablebody"/>
              <w:jc w:val="left"/>
            </w:pPr>
            <w:r w:rsidRPr="00DC4A4E">
              <w:t>How do they buy?</w:t>
            </w:r>
          </w:p>
        </w:tc>
        <w:tc>
          <w:tcPr>
            <w:tcW w:w="1498" w:type="dxa"/>
            <w:shd w:val="clear" w:color="auto" w:fill="auto"/>
            <w:noWrap/>
            <w:vAlign w:val="bottom"/>
            <w:hideMark/>
          </w:tcPr>
          <w:p w14:paraId="5A9347FE" w14:textId="7F6CF16F" w:rsidR="000166C9" w:rsidRPr="00DC4A4E" w:rsidRDefault="000166C9" w:rsidP="00DC4A4E">
            <w:pPr>
              <w:pStyle w:val="HED-tablebody"/>
              <w:jc w:val="left"/>
              <w:rPr>
                <w:b/>
                <w:bCs/>
              </w:rPr>
            </w:pPr>
            <w:r w:rsidRPr="00DC4A4E">
              <w:rPr>
                <w:b/>
                <w:bCs/>
              </w:rPr>
              <w:t>Operations</w:t>
            </w:r>
          </w:p>
        </w:tc>
      </w:tr>
      <w:tr w:rsidR="00C27DF1" w:rsidRPr="00DC4A4E" w14:paraId="083FD00E" w14:textId="77777777" w:rsidTr="00460223">
        <w:trPr>
          <w:trHeight w:val="236"/>
          <w:jc w:val="center"/>
        </w:trPr>
        <w:tc>
          <w:tcPr>
            <w:tcW w:w="2755" w:type="dxa"/>
            <w:shd w:val="clear" w:color="auto" w:fill="auto"/>
            <w:noWrap/>
            <w:vAlign w:val="bottom"/>
          </w:tcPr>
          <w:p w14:paraId="0AC0490F" w14:textId="2E62BE1E" w:rsidR="00C27DF1" w:rsidRPr="00DC4A4E" w:rsidRDefault="00C27DF1" w:rsidP="00DC4A4E">
            <w:pPr>
              <w:pStyle w:val="HED-tablebody"/>
              <w:jc w:val="left"/>
            </w:pPr>
            <w:r w:rsidRPr="00DC4A4E">
              <w:t>When do they buy?</w:t>
            </w:r>
          </w:p>
        </w:tc>
        <w:tc>
          <w:tcPr>
            <w:tcW w:w="1498" w:type="dxa"/>
            <w:shd w:val="clear" w:color="auto" w:fill="auto"/>
            <w:noWrap/>
            <w:vAlign w:val="bottom"/>
          </w:tcPr>
          <w:p w14:paraId="0DBF8AE3" w14:textId="0312F68F" w:rsidR="00C27DF1" w:rsidRPr="00DC4A4E" w:rsidRDefault="00C27DF1" w:rsidP="00DC4A4E">
            <w:pPr>
              <w:pStyle w:val="HED-tablebody"/>
              <w:jc w:val="left"/>
              <w:rPr>
                <w:b/>
                <w:bCs/>
              </w:rPr>
            </w:pPr>
            <w:r w:rsidRPr="00DC4A4E">
              <w:rPr>
                <w:b/>
                <w:bCs/>
              </w:rPr>
              <w:t>Occasions</w:t>
            </w:r>
          </w:p>
        </w:tc>
      </w:tr>
      <w:tr w:rsidR="000166C9" w:rsidRPr="00DC4A4E" w14:paraId="66C9C184" w14:textId="77777777" w:rsidTr="00460223">
        <w:trPr>
          <w:trHeight w:val="236"/>
          <w:jc w:val="center"/>
        </w:trPr>
        <w:tc>
          <w:tcPr>
            <w:tcW w:w="2755" w:type="dxa"/>
            <w:shd w:val="clear" w:color="auto" w:fill="auto"/>
            <w:noWrap/>
            <w:vAlign w:val="bottom"/>
          </w:tcPr>
          <w:p w14:paraId="6205B568" w14:textId="387C0AEC" w:rsidR="000166C9" w:rsidRPr="00DC4A4E" w:rsidRDefault="000166C9" w:rsidP="00DC4A4E">
            <w:pPr>
              <w:pStyle w:val="HED-tablebody"/>
              <w:jc w:val="left"/>
            </w:pPr>
            <w:r w:rsidRPr="00DC4A4E">
              <w:t>Whe</w:t>
            </w:r>
            <w:r w:rsidR="00C27DF1" w:rsidRPr="00DC4A4E">
              <w:t>re</w:t>
            </w:r>
            <w:r w:rsidRPr="00DC4A4E">
              <w:t xml:space="preserve"> do they buy?</w:t>
            </w:r>
          </w:p>
        </w:tc>
        <w:tc>
          <w:tcPr>
            <w:tcW w:w="1498" w:type="dxa"/>
            <w:shd w:val="clear" w:color="auto" w:fill="auto"/>
            <w:noWrap/>
            <w:vAlign w:val="bottom"/>
          </w:tcPr>
          <w:p w14:paraId="100D3C2A" w14:textId="63DA045C" w:rsidR="000166C9" w:rsidRPr="00DC4A4E" w:rsidRDefault="000166C9" w:rsidP="00DC4A4E">
            <w:pPr>
              <w:pStyle w:val="HED-tablebody"/>
              <w:jc w:val="left"/>
              <w:rPr>
                <w:b/>
                <w:bCs/>
              </w:rPr>
            </w:pPr>
            <w:r w:rsidRPr="00DC4A4E">
              <w:rPr>
                <w:b/>
                <w:bCs/>
              </w:rPr>
              <w:t>Outlets</w:t>
            </w:r>
          </w:p>
        </w:tc>
      </w:tr>
    </w:tbl>
    <w:p w14:paraId="1FE15097" w14:textId="77777777" w:rsidR="000166C9" w:rsidRPr="00DC4A4E" w:rsidRDefault="000166C9" w:rsidP="000166C9">
      <w:pPr>
        <w:pStyle w:val="HED-text"/>
        <w:ind w:firstLine="0"/>
      </w:pPr>
    </w:p>
    <w:p w14:paraId="1578360C" w14:textId="14E492D2" w:rsidR="009D1DC4" w:rsidRPr="00DC4A4E" w:rsidRDefault="009D1DC4" w:rsidP="00DC4A4E">
      <w:pPr>
        <w:pStyle w:val="HED-text"/>
      </w:pPr>
      <w:r w:rsidRPr="00DC4A4E">
        <w:t xml:space="preserve">Based on the differences between the brands and the complexity of purchase, we differentiate 4 types of consumer behavior: </w:t>
      </w:r>
    </w:p>
    <w:p w14:paraId="265D8577" w14:textId="21FF93D3" w:rsidR="00951A2B" w:rsidRPr="00DC4A4E" w:rsidRDefault="009D1DC4" w:rsidP="00951A2B">
      <w:pPr>
        <w:pStyle w:val="HED-bulletlist"/>
        <w:ind w:left="425" w:hanging="425"/>
      </w:pPr>
      <w:r w:rsidRPr="00DC4A4E">
        <w:t>Complex consumer behavior – collecting information of the product</w:t>
      </w:r>
      <w:r w:rsidR="00226199" w:rsidRPr="00DC4A4E">
        <w:t>,</w:t>
      </w:r>
      <w:r w:rsidRPr="00DC4A4E">
        <w:t xml:space="preserve"> the consumer is intended to buy is high, the consumers are aware about the differences between the brands. </w:t>
      </w:r>
    </w:p>
    <w:p w14:paraId="799DDA1E" w14:textId="77777777" w:rsidR="00951A2B" w:rsidRPr="00DC4A4E" w:rsidRDefault="009D1DC4" w:rsidP="00951A2B">
      <w:pPr>
        <w:pStyle w:val="HED-bulletlist"/>
        <w:ind w:left="425" w:hanging="425"/>
      </w:pPr>
      <w:r w:rsidRPr="00DC4A4E">
        <w:t>Dissonance-reducing purchasing behavior – the buyer has a significant individual interest in the purchase, but experiences minimal differences between the brands.</w:t>
      </w:r>
    </w:p>
    <w:p w14:paraId="7F135147" w14:textId="77777777" w:rsidR="00951A2B" w:rsidRPr="00DC4A4E" w:rsidRDefault="009D1DC4" w:rsidP="00951A2B">
      <w:pPr>
        <w:pStyle w:val="HED-bulletlist"/>
        <w:ind w:left="425" w:hanging="425"/>
      </w:pPr>
      <w:r w:rsidRPr="00DC4A4E">
        <w:t xml:space="preserve">Routine purchasing behavior – there is no relevant difference between the brands, so buying the product does not involve greater consumer interest. </w:t>
      </w:r>
    </w:p>
    <w:p w14:paraId="0950DD3F" w14:textId="0952D1CF" w:rsidR="009D1DC4" w:rsidRPr="00DC4A4E" w:rsidRDefault="009D1DC4" w:rsidP="00951A2B">
      <w:pPr>
        <w:pStyle w:val="HED-bulletlist"/>
        <w:ind w:left="425" w:hanging="425"/>
      </w:pPr>
      <w:r w:rsidRPr="00DC4A4E">
        <w:t>Consumer behavior looking for change – low interest for consumption with significant differences between the brands. In this group, the consumers change brands frequently.</w:t>
      </w:r>
      <w:r w:rsidR="004E4A0F" w:rsidRPr="00DC4A4E">
        <w:t xml:space="preserve"> (Schmidt et al</w:t>
      </w:r>
      <w:r w:rsidR="00390341">
        <w:t>.</w:t>
      </w:r>
      <w:r w:rsidR="004E4A0F" w:rsidRPr="00DC4A4E">
        <w:t xml:space="preserve">, 2016; </w:t>
      </w:r>
      <w:proofErr w:type="spellStart"/>
      <w:r w:rsidR="00226199" w:rsidRPr="00DC4A4E">
        <w:t>Repanova</w:t>
      </w:r>
      <w:proofErr w:type="spellEnd"/>
      <w:r w:rsidR="004E4A0F" w:rsidRPr="00DC4A4E">
        <w:t xml:space="preserve"> &amp;</w:t>
      </w:r>
      <w:r w:rsidRPr="00DC4A4E">
        <w:t xml:space="preserve"> </w:t>
      </w:r>
      <w:proofErr w:type="spellStart"/>
      <w:r w:rsidRPr="00DC4A4E">
        <w:t>Profietova</w:t>
      </w:r>
      <w:proofErr w:type="spellEnd"/>
      <w:r w:rsidRPr="00DC4A4E">
        <w:t>, 2018)</w:t>
      </w:r>
    </w:p>
    <w:p w14:paraId="7E446C03" w14:textId="7703745A" w:rsidR="009D1DC4" w:rsidRPr="00DC4A4E" w:rsidRDefault="009D1DC4" w:rsidP="009D1DC4">
      <w:pPr>
        <w:pStyle w:val="HED-text"/>
      </w:pPr>
      <w:r w:rsidRPr="00DC4A4E">
        <w:t xml:space="preserve">Advertising efficiency refers to the return resulting from costs invested into advertising to generate profit. The advertising costs may be measured efficiently, but the return resulted as a result of advertising is less measurable. The investors are trying to support the decisions related to advertising </w:t>
      </w:r>
      <w:r w:rsidR="00D81DE8" w:rsidRPr="00DC4A4E">
        <w:t>with statistics on return</w:t>
      </w:r>
      <w:r w:rsidR="00390341">
        <w:t>.</w:t>
      </w:r>
      <w:r w:rsidR="00D81DE8" w:rsidRPr="00DC4A4E">
        <w:t xml:space="preserve"> </w:t>
      </w:r>
      <w:r w:rsidR="00390341">
        <w:t>(</w:t>
      </w:r>
      <w:proofErr w:type="spellStart"/>
      <w:r w:rsidR="00D81DE8" w:rsidRPr="00DC4A4E">
        <w:t>Gáti</w:t>
      </w:r>
      <w:proofErr w:type="spellEnd"/>
      <w:r w:rsidR="00D81DE8" w:rsidRPr="00DC4A4E">
        <w:t xml:space="preserve"> et al., </w:t>
      </w:r>
      <w:r w:rsidRPr="00DC4A4E">
        <w:t>2018)</w:t>
      </w:r>
    </w:p>
    <w:p w14:paraId="21F09CC9" w14:textId="5A9397D4" w:rsidR="009D1DC4" w:rsidRPr="00DC4A4E" w:rsidRDefault="009D1DC4" w:rsidP="009D1DC4">
      <w:pPr>
        <w:pStyle w:val="HED-text"/>
      </w:pPr>
      <w:r w:rsidRPr="00DC4A4E">
        <w:t>The goal of advertiser is to achieve an impact that makes the customer to choose a particular product. Long and complex is the emotional process to become a purchaser. The advertisements have to provide information why the product is good, what are the specific features, and why it is useful to buy the product or the service (</w:t>
      </w:r>
      <w:proofErr w:type="spellStart"/>
      <w:r w:rsidRPr="00DC4A4E">
        <w:t>Csapó-Horváth</w:t>
      </w:r>
      <w:proofErr w:type="spellEnd"/>
      <w:r w:rsidRPr="00DC4A4E">
        <w:t>, 2021).</w:t>
      </w:r>
    </w:p>
    <w:p w14:paraId="3CA41A69" w14:textId="6B349906" w:rsidR="00FF4FBA" w:rsidRPr="00DC4A4E" w:rsidRDefault="009D1DC4" w:rsidP="005F7AE5">
      <w:pPr>
        <w:pStyle w:val="HED-text"/>
      </w:pPr>
      <w:r w:rsidRPr="00DC4A4E">
        <w:t xml:space="preserve">The primary role is to convince the customers why the products or services offered by the given company are better than the products or services of the competitors. The goal of advert is to shift the consumer’s opinion about the product or service into a positive direction. More and more we can hear about the anti-advertising campaigns, protests and more and more consumers protest on the content of the adverts </w:t>
      </w:r>
      <w:r w:rsidR="004E4A0F" w:rsidRPr="00DC4A4E">
        <w:t>(Schmidt et al</w:t>
      </w:r>
      <w:r w:rsidR="00390341">
        <w:t>.</w:t>
      </w:r>
      <w:r w:rsidR="004E4A0F" w:rsidRPr="00DC4A4E">
        <w:t xml:space="preserve">, 2016; </w:t>
      </w:r>
      <w:proofErr w:type="spellStart"/>
      <w:r w:rsidR="004E4A0F" w:rsidRPr="00DC4A4E">
        <w:t>Repanova</w:t>
      </w:r>
      <w:proofErr w:type="spellEnd"/>
      <w:r w:rsidR="004E4A0F" w:rsidRPr="00DC4A4E">
        <w:t xml:space="preserve"> &amp; </w:t>
      </w:r>
      <w:proofErr w:type="spellStart"/>
      <w:r w:rsidRPr="00DC4A4E">
        <w:t>Profietova</w:t>
      </w:r>
      <w:proofErr w:type="spellEnd"/>
      <w:r w:rsidRPr="00DC4A4E">
        <w:t>, 2018)</w:t>
      </w:r>
      <w:r w:rsidR="00FC4883" w:rsidRPr="00DC4A4E">
        <w:t>. Sport consumption can be a part of sport tourism as well (</w:t>
      </w:r>
      <w:proofErr w:type="spellStart"/>
      <w:r w:rsidR="00FC4883" w:rsidRPr="00DC4A4E">
        <w:t>Tiimub</w:t>
      </w:r>
      <w:proofErr w:type="spellEnd"/>
      <w:r w:rsidR="00FC4883" w:rsidRPr="00DC4A4E">
        <w:t xml:space="preserve"> et al., 2021</w:t>
      </w:r>
      <w:r w:rsidR="0064386E" w:rsidRPr="00DC4A4E">
        <w:t xml:space="preserve">; </w:t>
      </w:r>
      <w:proofErr w:type="spellStart"/>
      <w:r w:rsidR="0064386E" w:rsidRPr="00DC4A4E">
        <w:t>Luu</w:t>
      </w:r>
      <w:proofErr w:type="spellEnd"/>
      <w:r w:rsidR="0064386E" w:rsidRPr="00DC4A4E">
        <w:t xml:space="preserve"> &amp; Galan, 2021</w:t>
      </w:r>
      <w:r w:rsidR="00FC4883" w:rsidRPr="00DC4A4E">
        <w:t>)</w:t>
      </w:r>
    </w:p>
    <w:p w14:paraId="007FEE57" w14:textId="77777777" w:rsidR="00101D43" w:rsidRPr="00DC4A4E" w:rsidRDefault="00101D43" w:rsidP="009F7957">
      <w:pPr>
        <w:pStyle w:val="HED-heading1"/>
      </w:pPr>
      <w:r w:rsidRPr="00DC4A4E">
        <w:rPr>
          <w:lang w:eastAsia="zh-CN"/>
        </w:rPr>
        <w:t xml:space="preserve">2. </w:t>
      </w:r>
      <w:r w:rsidRPr="00DC4A4E">
        <w:t>Methodology</w:t>
      </w:r>
    </w:p>
    <w:p w14:paraId="0ED57231" w14:textId="50518010" w:rsidR="005F7AE5" w:rsidRPr="00DC4A4E" w:rsidRDefault="005F7AE5" w:rsidP="006A427D">
      <w:pPr>
        <w:pStyle w:val="HED-text"/>
      </w:pPr>
      <w:r w:rsidRPr="00DC4A4E">
        <w:t>The main purpose of this paper is to examine the services and products offered by a</w:t>
      </w:r>
      <w:r w:rsidR="00390341">
        <w:t> </w:t>
      </w:r>
      <w:r w:rsidRPr="00DC4A4E">
        <w:t>football c</w:t>
      </w:r>
      <w:r w:rsidR="00A00240" w:rsidRPr="00DC4A4E">
        <w:t>lub in the Slovak “</w:t>
      </w:r>
      <w:r w:rsidRPr="00DC4A4E">
        <w:t>For</w:t>
      </w:r>
      <w:r w:rsidR="00A00240" w:rsidRPr="00DC4A4E">
        <w:t>tuna”,</w:t>
      </w:r>
      <w:r w:rsidRPr="00DC4A4E">
        <w:t xml:space="preserve"> based on the consumers’ opinion and experience. A</w:t>
      </w:r>
      <w:r w:rsidR="00390341">
        <w:t> </w:t>
      </w:r>
      <w:r w:rsidRPr="00DC4A4E">
        <w:t>questionnaire survey was used to collect data about the consumer purchasing habit.</w:t>
      </w:r>
      <w:r w:rsidR="006A427D" w:rsidRPr="00DC4A4E">
        <w:t xml:space="preserve"> The online survey began on 1</w:t>
      </w:r>
      <w:r w:rsidR="006A427D" w:rsidRPr="00DC4A4E">
        <w:rPr>
          <w:vertAlign w:val="superscript"/>
        </w:rPr>
        <w:t>st</w:t>
      </w:r>
      <w:r w:rsidR="006A427D" w:rsidRPr="00DC4A4E">
        <w:t xml:space="preserve"> September 2021 and finished on 30</w:t>
      </w:r>
      <w:r w:rsidR="006A427D" w:rsidRPr="00DC4A4E">
        <w:rPr>
          <w:vertAlign w:val="superscript"/>
        </w:rPr>
        <w:t>th</w:t>
      </w:r>
      <w:r w:rsidR="006A427D" w:rsidRPr="00DC4A4E">
        <w:t xml:space="preserve"> October 2021.</w:t>
      </w:r>
      <w:r w:rsidRPr="00DC4A4E">
        <w:t xml:space="preserve"> The survey </w:t>
      </w:r>
      <w:r w:rsidRPr="00DC4A4E">
        <w:lastRenderedPageBreak/>
        <w:t>included demographic questions, which made it easier to identify the social background of the participants. The next group of questions asked the respondents about the services and products of the club, thus we obtained basic marketing research data for our research. The summary of this data served to find correlations between the partial results gained. The survey included open-ended questions that allow respondents to answer in open text. These types of questions were used at the beginning and at the end of our survey. A snowball sampling method was also applied in the survey.</w:t>
      </w:r>
    </w:p>
    <w:p w14:paraId="47B05F8C" w14:textId="1EDA1C86" w:rsidR="005F7AE5" w:rsidRPr="00DC4A4E" w:rsidRDefault="005F7AE5" w:rsidP="005F7AE5">
      <w:pPr>
        <w:pStyle w:val="HED-text"/>
      </w:pPr>
      <w:r w:rsidRPr="00DC4A4E">
        <w:t>Most of the questions were multiple-choice questions and rating scales. The questionnaire was shared in a closed</w:t>
      </w:r>
      <w:r w:rsidR="003E094A" w:rsidRPr="00DC4A4E">
        <w:t xml:space="preserve"> Facebook group of more than 12.</w:t>
      </w:r>
      <w:r w:rsidRPr="00DC4A4E">
        <w:t>3 thousand fans. Sharing the questionnaire in the targeted group generated a relevant number of filled questionnaires. The questionnaire was filled in and returned by 434 respondents, which is approx. 3.53% feedback rate compared to the size of the group. Based on the collected data, we decided to analyze 3 generations (Gen X, Y, and Z). We formulated the following two hypotheses:</w:t>
      </w:r>
    </w:p>
    <w:p w14:paraId="00F87AE3" w14:textId="25446167" w:rsidR="005F7AE5" w:rsidRPr="00DC4A4E" w:rsidRDefault="005F7AE5" w:rsidP="005F7AE5">
      <w:pPr>
        <w:pStyle w:val="HED-text"/>
        <w:jc w:val="center"/>
        <w:rPr>
          <w:i/>
          <w:iCs/>
        </w:rPr>
      </w:pPr>
      <w:r w:rsidRPr="00DC4A4E">
        <w:rPr>
          <w:i/>
          <w:iCs/>
        </w:rPr>
        <w:t xml:space="preserve">H1: The ratio of representatives of younger generation distant fans following their </w:t>
      </w:r>
      <w:r w:rsidR="008813C2" w:rsidRPr="00DC4A4E">
        <w:rPr>
          <w:i/>
          <w:iCs/>
        </w:rPr>
        <w:t>favorite</w:t>
      </w:r>
      <w:r w:rsidRPr="00DC4A4E">
        <w:rPr>
          <w:i/>
          <w:iCs/>
        </w:rPr>
        <w:t xml:space="preserve"> team on social media sites is high.</w:t>
      </w:r>
    </w:p>
    <w:p w14:paraId="578F12B5" w14:textId="3EBC5150" w:rsidR="005F7AE5" w:rsidRPr="00DC4A4E" w:rsidRDefault="005F7AE5" w:rsidP="005F7AE5">
      <w:pPr>
        <w:pStyle w:val="HED-text"/>
      </w:pPr>
      <w:r w:rsidRPr="00DC4A4E">
        <w:t>Distant fans form a group of</w:t>
      </w:r>
      <w:r w:rsidR="00A00240" w:rsidRPr="00DC4A4E">
        <w:t xml:space="preserve"> fans living further than 50 km</w:t>
      </w:r>
      <w:r w:rsidRPr="00DC4A4E">
        <w:t xml:space="preserve"> from the headquarters of the club. The most known social media sites are Facebook and Instagram. These definitions were also part of the questionnaire survey to avoid misunderstanding.</w:t>
      </w:r>
    </w:p>
    <w:p w14:paraId="26CD8518" w14:textId="77777777" w:rsidR="005F7AE5" w:rsidRPr="00DC4A4E" w:rsidRDefault="005F7AE5" w:rsidP="005F7AE5">
      <w:pPr>
        <w:pStyle w:val="HED-text"/>
        <w:jc w:val="center"/>
        <w:rPr>
          <w:i/>
          <w:iCs/>
        </w:rPr>
      </w:pPr>
      <w:r w:rsidRPr="00DC4A4E">
        <w:rPr>
          <w:i/>
          <w:iCs/>
        </w:rPr>
        <w:t>H2: Members of the younger generation received a higher proportion of fan souvenirs than they gave to others as a gift.</w:t>
      </w:r>
    </w:p>
    <w:p w14:paraId="647E2E08" w14:textId="3577B8C5" w:rsidR="005F7AE5" w:rsidRPr="00DC4A4E" w:rsidRDefault="005F7AE5" w:rsidP="005F7AE5">
      <w:pPr>
        <w:pStyle w:val="HED-text"/>
      </w:pPr>
      <w:r w:rsidRPr="00DC4A4E">
        <w:t>The term „younger generation” is used for the representatives of Generation Z. They were compared with the representatives of Generations X and Y.</w:t>
      </w:r>
    </w:p>
    <w:p w14:paraId="30B06682" w14:textId="2ABA6D2E" w:rsidR="00101D43" w:rsidRPr="00DC4A4E" w:rsidRDefault="00101D43" w:rsidP="009F7957">
      <w:pPr>
        <w:pStyle w:val="HED-heading1"/>
      </w:pPr>
      <w:r w:rsidRPr="00DC4A4E">
        <w:t>3. Results</w:t>
      </w:r>
    </w:p>
    <w:p w14:paraId="5B9B9F50" w14:textId="61AACE56" w:rsidR="008C7D77" w:rsidRPr="00DC4A4E" w:rsidRDefault="003E094A" w:rsidP="008C7D77">
      <w:pPr>
        <w:pStyle w:val="HED-text"/>
      </w:pPr>
      <w:r w:rsidRPr="00DC4A4E">
        <w:t>Only 34.</w:t>
      </w:r>
      <w:r w:rsidR="008C7D77" w:rsidRPr="00DC4A4E">
        <w:t>6% of the respondents were fe</w:t>
      </w:r>
      <w:r w:rsidRPr="00DC4A4E">
        <w:t>male, the remaining ratio of 65.</w:t>
      </w:r>
      <w:r w:rsidR="008C7D77" w:rsidRPr="00DC4A4E">
        <w:t>4% were male respondents. The examined sample shows that most of the fans of football can be found among the male respondents, so the fans of the examined football club are also formed dominantly by men. When examining the age of the respondents, we were interested in the age of the youngest and the oldest respondent. 32.9% of the respondents represented Generation X, 32.7% fall into Generation Y, and 34.4% belonged to Generation Z.</w:t>
      </w:r>
    </w:p>
    <w:p w14:paraId="7C3B9AA6" w14:textId="405585DE" w:rsidR="008C7D77" w:rsidRPr="00DC4A4E" w:rsidRDefault="008C7D77" w:rsidP="008C7D77">
      <w:pPr>
        <w:pStyle w:val="HED-text"/>
      </w:pPr>
      <w:r w:rsidRPr="00DC4A4E">
        <w:t>A multiple-choice question was offered to provide information about the employment type of the respondents. According to the survey results, 55.1% of the respondents work as employees, 15.7% are self-employed, 1.2% are unemployed, 24.9% are students, 2.3% are pensioners and only 0.8% of the respondents chose the „other” option.</w:t>
      </w:r>
    </w:p>
    <w:p w14:paraId="15A8C34D" w14:textId="3DB576B9" w:rsidR="008C7D77" w:rsidRPr="00DC4A4E" w:rsidRDefault="008C7D77" w:rsidP="008C7D77">
      <w:pPr>
        <w:pStyle w:val="HED-text"/>
      </w:pPr>
      <w:r w:rsidRPr="00DC4A4E">
        <w:t>Following the question about employment, we found it necessary to ask the average monthly income of the respondents. The options for answer were the following: less than 200 EUR/month, 200-500 EUR/month, 500-750 EUR/month, 750-1500 EUR/month, above 1500 EUR/month. The answers provided for this questi</w:t>
      </w:r>
      <w:r w:rsidR="003E094A" w:rsidRPr="00DC4A4E">
        <w:t>on were diverse. 21.</w:t>
      </w:r>
      <w:r w:rsidRPr="00DC4A4E">
        <w:t xml:space="preserve">7% of the respondents had less than 200 EUR/month. The answer is not surprising since there are many students among the fans. 14.3% of the respondents have an income of 200-500 EUR/month. The highest ratio of our respondents belongs to the group with monthly income between 500 and 750 </w:t>
      </w:r>
      <w:r w:rsidRPr="00DC4A4E">
        <w:lastRenderedPageBreak/>
        <w:t xml:space="preserve">EUR. They are represented with 28.1%. 26.7% of the respondents were from the group of 750-1500 EUR monthly income. Based on the questionnaire survey, 9.2% of the respondents had more than 1500 EUR monthly income. </w:t>
      </w:r>
    </w:p>
    <w:p w14:paraId="1E8ED7D8" w14:textId="75AB5A37" w:rsidR="008C7D77" w:rsidRPr="00DC4A4E" w:rsidRDefault="008C7D77" w:rsidP="008C7D77">
      <w:pPr>
        <w:pStyle w:val="HED-text"/>
      </w:pPr>
      <w:r w:rsidRPr="00DC4A4E">
        <w:t>The last question of this type addressed the highest education degree of the respondents. The options to choose were the following: basic school, high school without final exam, high school with final exam, college/university, and postgraduate stud</w:t>
      </w:r>
      <w:r w:rsidR="003E094A" w:rsidRPr="00DC4A4E">
        <w:t>ies. 8.</w:t>
      </w:r>
      <w:r w:rsidRPr="00DC4A4E">
        <w:t>8% of the respondents have a basic school degree, 24.0% high school degree without final exam. The highest ratio of the respondents had a high school degree on final exam (46.05%). The ratio of the respondents with university degree was 19.6%, and postgraduate studies were completed by 1.2% of the respondents.</w:t>
      </w:r>
    </w:p>
    <w:p w14:paraId="2918DA8A" w14:textId="538D7202" w:rsidR="003B77E2" w:rsidRPr="00DC4A4E" w:rsidRDefault="003B77E2" w:rsidP="00A00240">
      <w:pPr>
        <w:pStyle w:val="HED-text"/>
      </w:pPr>
      <w:r w:rsidRPr="00DC4A4E">
        <w:t>Our first hypothesis was the following:</w:t>
      </w:r>
      <w:r w:rsidR="00A00240" w:rsidRPr="00DC4A4E">
        <w:t xml:space="preserve"> </w:t>
      </w:r>
      <w:r w:rsidRPr="00DC4A4E">
        <w:rPr>
          <w:i/>
          <w:iCs/>
        </w:rPr>
        <w:t xml:space="preserve">The ratio of representatives of younger generation distant fans following their </w:t>
      </w:r>
      <w:r w:rsidR="008813C2" w:rsidRPr="00DC4A4E">
        <w:rPr>
          <w:i/>
          <w:iCs/>
        </w:rPr>
        <w:t>favorite</w:t>
      </w:r>
      <w:r w:rsidRPr="00DC4A4E">
        <w:rPr>
          <w:i/>
          <w:iCs/>
        </w:rPr>
        <w:t xml:space="preserve"> team on social media sites is high.</w:t>
      </w:r>
    </w:p>
    <w:p w14:paraId="31945D36" w14:textId="2635196E" w:rsidR="003B77E2" w:rsidRPr="00DC4A4E" w:rsidRDefault="003B77E2" w:rsidP="009F7957">
      <w:pPr>
        <w:pStyle w:val="HED-text"/>
      </w:pPr>
      <w:r w:rsidRPr="00DC4A4E">
        <w:t>To test our hypothesis, we had to select the collected data. Only those fans were included in the survey who live 50+ km from the headquarters of the sport club. We wanted to examine the relationship between the generation groups (independent, ordinal) and the frequency of following social media site of the club (dependent, ordinal). We had to conduct an independence test. We obtained the following observed values</w:t>
      </w:r>
      <w:r w:rsidR="00460908">
        <w:t xml:space="preserve"> (Figure 1)</w:t>
      </w:r>
      <w:r w:rsidRPr="00DC4A4E">
        <w:t>:</w:t>
      </w:r>
    </w:p>
    <w:p w14:paraId="21AB20C2" w14:textId="77777777" w:rsidR="00460223" w:rsidRPr="00DC4A4E" w:rsidRDefault="00460223" w:rsidP="009F7957">
      <w:pPr>
        <w:pStyle w:val="HED-text"/>
      </w:pPr>
    </w:p>
    <w:p w14:paraId="6552BB6F" w14:textId="1B749F05" w:rsidR="003B77E2" w:rsidRPr="00DC4A4E" w:rsidRDefault="00E80BEC" w:rsidP="00DC4A4E">
      <w:pPr>
        <w:pStyle w:val="HED-figure"/>
      </w:pPr>
      <w:r w:rsidRPr="00DC4A4E">
        <w:rPr>
          <w:noProof/>
          <w:lang w:val="hu-HU" w:eastAsia="hu-HU"/>
        </w:rPr>
        <w:drawing>
          <wp:inline distT="0" distB="0" distL="0" distR="0" wp14:anchorId="64055383" wp14:editId="336E28FE">
            <wp:extent cx="4568825" cy="2740025"/>
            <wp:effectExtent l="0" t="0" r="3175" b="3175"/>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D4E4ED2" w14:textId="7C5B3186" w:rsidR="00460223" w:rsidRPr="00DC4A4E" w:rsidRDefault="00460223" w:rsidP="00DC4A4E">
      <w:pPr>
        <w:pStyle w:val="HED-tablecaption"/>
      </w:pPr>
      <w:r w:rsidRPr="00DC4A4E">
        <w:rPr>
          <w:b/>
        </w:rPr>
        <w:t>Figure 1.</w:t>
      </w:r>
      <w:r w:rsidRPr="00DC4A4E">
        <w:t xml:space="preserve"> The relationship between the age of the respondents and the frequency of following the social media site of the club</w:t>
      </w:r>
    </w:p>
    <w:p w14:paraId="00064FF7" w14:textId="4270FF80" w:rsidR="003B77E2" w:rsidRDefault="00460223" w:rsidP="009F7957">
      <w:pPr>
        <w:pStyle w:val="HED-text"/>
      </w:pPr>
      <w:r w:rsidRPr="00E4136A">
        <w:rPr>
          <w:spacing w:val="6"/>
        </w:rPr>
        <w:t>Since both variables are ordinal – not metric variables – we applied a crosstab. Our statement sounds that there is no relationship between the observed variables. Pearson's</w:t>
      </w:r>
      <w:r w:rsidR="00E4136A" w:rsidRPr="00E4136A">
        <w:rPr>
          <w:spacing w:val="2"/>
        </w:rPr>
        <w:br/>
      </w:r>
      <w:r w:rsidRPr="00DC4A4E">
        <w:t>Chi-square (χ2) test was used to perform the test. We obtained the following values by applying SPSS.</w:t>
      </w:r>
    </w:p>
    <w:p w14:paraId="3441AA2A" w14:textId="0F635241" w:rsidR="00E4136A" w:rsidRPr="00DC4A4E" w:rsidRDefault="00E4136A" w:rsidP="00E4136A">
      <w:pPr>
        <w:pStyle w:val="HED-text"/>
      </w:pPr>
      <w:r w:rsidRPr="00DC4A4E">
        <w:t>The value of the Chi-square is 5.881; the value of the degree of freedom (df) is 2; the significance (α) value is 0.05. The critical value of the χ2 (in case that the degree of freedom (df)=2, the level of significance is 0.05) based on the table of quantile values of the Chi square distribution is 5</w:t>
      </w:r>
      <w:r w:rsidR="00D679D6">
        <w:t>.</w:t>
      </w:r>
      <w:r w:rsidRPr="00DC4A4E">
        <w:t xml:space="preserve">991. According to this, 5.881 &lt; 5.991, which means that </w:t>
      </w:r>
      <w:r w:rsidRPr="00DC4A4E">
        <w:rPr>
          <w:i/>
        </w:rPr>
        <w:t>χ2 &lt; χ2 crit.</w:t>
      </w:r>
    </w:p>
    <w:p w14:paraId="142A558C" w14:textId="4045F75D" w:rsidR="00460223" w:rsidRPr="00DC4A4E" w:rsidRDefault="00460223" w:rsidP="00DC4A4E">
      <w:pPr>
        <w:pStyle w:val="HED-tablecaption"/>
      </w:pPr>
      <w:r w:rsidRPr="00DC4A4E">
        <w:rPr>
          <w:b/>
          <w:bCs/>
        </w:rPr>
        <w:lastRenderedPageBreak/>
        <w:t>Table 2.</w:t>
      </w:r>
      <w:r w:rsidRPr="00DC4A4E">
        <w:t xml:space="preserve"> </w:t>
      </w:r>
      <w:r w:rsidR="00F91CB7" w:rsidRPr="00DC4A4E">
        <w:t>The result of the Pearson Chi-Square test – Hypothesis 1</w:t>
      </w:r>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55"/>
        <w:gridCol w:w="1498"/>
        <w:gridCol w:w="987"/>
        <w:gridCol w:w="2009"/>
      </w:tblGrid>
      <w:tr w:rsidR="00460223" w:rsidRPr="00DC4A4E" w14:paraId="2945BE0D" w14:textId="07DF1322" w:rsidTr="00E81F26">
        <w:trPr>
          <w:trHeight w:val="236"/>
          <w:jc w:val="center"/>
        </w:trPr>
        <w:tc>
          <w:tcPr>
            <w:tcW w:w="2755" w:type="dxa"/>
            <w:shd w:val="clear" w:color="auto" w:fill="auto"/>
            <w:noWrap/>
            <w:vAlign w:val="center"/>
            <w:hideMark/>
          </w:tcPr>
          <w:p w14:paraId="3720A630" w14:textId="28EE6D56" w:rsidR="00460223" w:rsidRPr="00DC4A4E" w:rsidRDefault="00460223" w:rsidP="00AA27C9">
            <w:pPr>
              <w:pStyle w:val="HED-tablebody"/>
            </w:pPr>
          </w:p>
        </w:tc>
        <w:tc>
          <w:tcPr>
            <w:tcW w:w="1498" w:type="dxa"/>
            <w:shd w:val="clear" w:color="auto" w:fill="auto"/>
            <w:noWrap/>
            <w:vAlign w:val="center"/>
            <w:hideMark/>
          </w:tcPr>
          <w:p w14:paraId="7A946077" w14:textId="12611DFA" w:rsidR="00460223" w:rsidRPr="00DC4A4E" w:rsidRDefault="00460223" w:rsidP="00AA27C9">
            <w:pPr>
              <w:pStyle w:val="HED-tablebody"/>
              <w:rPr>
                <w:b/>
                <w:bCs/>
              </w:rPr>
            </w:pPr>
            <w:r w:rsidRPr="00DC4A4E">
              <w:rPr>
                <w:b/>
                <w:bCs/>
              </w:rPr>
              <w:t>Value</w:t>
            </w:r>
          </w:p>
        </w:tc>
        <w:tc>
          <w:tcPr>
            <w:tcW w:w="987" w:type="dxa"/>
            <w:vAlign w:val="center"/>
          </w:tcPr>
          <w:p w14:paraId="43ED929B" w14:textId="30AF4DDF" w:rsidR="00460223" w:rsidRPr="00DC4A4E" w:rsidRDefault="00460223" w:rsidP="00AA27C9">
            <w:pPr>
              <w:pStyle w:val="HED-tablebody"/>
              <w:rPr>
                <w:b/>
                <w:bCs/>
              </w:rPr>
            </w:pPr>
            <w:r w:rsidRPr="00DC4A4E">
              <w:rPr>
                <w:b/>
                <w:bCs/>
              </w:rPr>
              <w:t>df</w:t>
            </w:r>
          </w:p>
        </w:tc>
        <w:tc>
          <w:tcPr>
            <w:tcW w:w="2009" w:type="dxa"/>
            <w:vAlign w:val="center"/>
          </w:tcPr>
          <w:p w14:paraId="13EDBDEB" w14:textId="165B4AAD" w:rsidR="00460223" w:rsidRPr="00DC4A4E" w:rsidRDefault="00460223" w:rsidP="00AA27C9">
            <w:pPr>
              <w:pStyle w:val="HED-tablebody"/>
              <w:rPr>
                <w:b/>
                <w:bCs/>
              </w:rPr>
            </w:pPr>
            <w:proofErr w:type="spellStart"/>
            <w:r w:rsidRPr="00DC4A4E">
              <w:rPr>
                <w:b/>
                <w:bCs/>
              </w:rPr>
              <w:t>Asymp</w:t>
            </w:r>
            <w:proofErr w:type="spellEnd"/>
            <w:r w:rsidRPr="00DC4A4E">
              <w:rPr>
                <w:b/>
                <w:bCs/>
              </w:rPr>
              <w:t>. Sig. (2-sided)</w:t>
            </w:r>
          </w:p>
        </w:tc>
      </w:tr>
      <w:tr w:rsidR="00460223" w:rsidRPr="00DC4A4E" w14:paraId="309A5A05" w14:textId="229BAD8D" w:rsidTr="00E81F26">
        <w:trPr>
          <w:trHeight w:val="236"/>
          <w:jc w:val="center"/>
        </w:trPr>
        <w:tc>
          <w:tcPr>
            <w:tcW w:w="2755" w:type="dxa"/>
            <w:shd w:val="clear" w:color="auto" w:fill="auto"/>
            <w:noWrap/>
            <w:vAlign w:val="center"/>
            <w:hideMark/>
          </w:tcPr>
          <w:p w14:paraId="7398C645" w14:textId="03E2AA00" w:rsidR="00460223" w:rsidRPr="00DC4A4E" w:rsidRDefault="00460223" w:rsidP="001F7968">
            <w:pPr>
              <w:pStyle w:val="HED-tablebody"/>
              <w:jc w:val="left"/>
              <w:rPr>
                <w:b/>
                <w:bCs/>
              </w:rPr>
            </w:pPr>
            <w:r w:rsidRPr="00DC4A4E">
              <w:rPr>
                <w:b/>
                <w:bCs/>
              </w:rPr>
              <w:t>Pearson Chi-Square</w:t>
            </w:r>
          </w:p>
        </w:tc>
        <w:tc>
          <w:tcPr>
            <w:tcW w:w="1498" w:type="dxa"/>
            <w:shd w:val="clear" w:color="auto" w:fill="auto"/>
            <w:noWrap/>
            <w:vAlign w:val="center"/>
            <w:hideMark/>
          </w:tcPr>
          <w:p w14:paraId="46FB4532" w14:textId="149577E5" w:rsidR="00460223" w:rsidRPr="00DC4A4E" w:rsidRDefault="00460223" w:rsidP="00AA27C9">
            <w:pPr>
              <w:pStyle w:val="HED-tablebody"/>
              <w:jc w:val="right"/>
            </w:pPr>
            <w:r w:rsidRPr="00DC4A4E">
              <w:t>5.881</w:t>
            </w:r>
          </w:p>
        </w:tc>
        <w:tc>
          <w:tcPr>
            <w:tcW w:w="987" w:type="dxa"/>
            <w:vAlign w:val="center"/>
          </w:tcPr>
          <w:p w14:paraId="788EBF75" w14:textId="45253720" w:rsidR="00460223" w:rsidRPr="00DC4A4E" w:rsidRDefault="00460223" w:rsidP="00AA27C9">
            <w:pPr>
              <w:pStyle w:val="HED-tablebody"/>
              <w:jc w:val="right"/>
            </w:pPr>
            <w:r w:rsidRPr="00DC4A4E">
              <w:t>2</w:t>
            </w:r>
          </w:p>
        </w:tc>
        <w:tc>
          <w:tcPr>
            <w:tcW w:w="2009" w:type="dxa"/>
            <w:vAlign w:val="center"/>
          </w:tcPr>
          <w:p w14:paraId="495DB125" w14:textId="6F9B2E3C" w:rsidR="00460223" w:rsidRPr="00DC4A4E" w:rsidRDefault="00460223" w:rsidP="00AA27C9">
            <w:pPr>
              <w:pStyle w:val="HED-tablebody"/>
              <w:jc w:val="right"/>
            </w:pPr>
            <w:r w:rsidRPr="00DC4A4E">
              <w:t>.053</w:t>
            </w:r>
          </w:p>
        </w:tc>
      </w:tr>
      <w:tr w:rsidR="00460223" w:rsidRPr="00DC4A4E" w14:paraId="6F6E6810" w14:textId="2A61B7C0" w:rsidTr="00E81F26">
        <w:trPr>
          <w:trHeight w:val="236"/>
          <w:jc w:val="center"/>
        </w:trPr>
        <w:tc>
          <w:tcPr>
            <w:tcW w:w="2755" w:type="dxa"/>
            <w:shd w:val="clear" w:color="auto" w:fill="auto"/>
            <w:noWrap/>
            <w:vAlign w:val="center"/>
            <w:hideMark/>
          </w:tcPr>
          <w:p w14:paraId="2C7C36E7" w14:textId="1A631A9C" w:rsidR="00460223" w:rsidRPr="00DC4A4E" w:rsidRDefault="00460223" w:rsidP="001F7968">
            <w:pPr>
              <w:pStyle w:val="HED-tablebody"/>
              <w:jc w:val="left"/>
              <w:rPr>
                <w:b/>
                <w:bCs/>
              </w:rPr>
            </w:pPr>
            <w:r w:rsidRPr="00DC4A4E">
              <w:rPr>
                <w:b/>
                <w:bCs/>
              </w:rPr>
              <w:t>Likelihood Ratio</w:t>
            </w:r>
          </w:p>
        </w:tc>
        <w:tc>
          <w:tcPr>
            <w:tcW w:w="1498" w:type="dxa"/>
            <w:shd w:val="clear" w:color="auto" w:fill="auto"/>
            <w:noWrap/>
            <w:vAlign w:val="center"/>
            <w:hideMark/>
          </w:tcPr>
          <w:p w14:paraId="34530187" w14:textId="6583B076" w:rsidR="00460223" w:rsidRPr="00DC4A4E" w:rsidRDefault="00460223" w:rsidP="00AA27C9">
            <w:pPr>
              <w:pStyle w:val="HED-tablebody"/>
              <w:jc w:val="right"/>
            </w:pPr>
            <w:r w:rsidRPr="00DC4A4E">
              <w:t>6.116</w:t>
            </w:r>
          </w:p>
        </w:tc>
        <w:tc>
          <w:tcPr>
            <w:tcW w:w="987" w:type="dxa"/>
            <w:vAlign w:val="center"/>
          </w:tcPr>
          <w:p w14:paraId="0AF63FF3" w14:textId="08158F43" w:rsidR="00460223" w:rsidRPr="00DC4A4E" w:rsidRDefault="00460223" w:rsidP="00AA27C9">
            <w:pPr>
              <w:pStyle w:val="HED-tablebody"/>
              <w:jc w:val="right"/>
            </w:pPr>
            <w:r w:rsidRPr="00DC4A4E">
              <w:t>2</w:t>
            </w:r>
          </w:p>
        </w:tc>
        <w:tc>
          <w:tcPr>
            <w:tcW w:w="2009" w:type="dxa"/>
            <w:vAlign w:val="center"/>
          </w:tcPr>
          <w:p w14:paraId="01D31C64" w14:textId="11A9E78A" w:rsidR="00460223" w:rsidRPr="00DC4A4E" w:rsidRDefault="00460223" w:rsidP="00AA27C9">
            <w:pPr>
              <w:pStyle w:val="HED-tablebody"/>
              <w:jc w:val="right"/>
            </w:pPr>
            <w:r w:rsidRPr="00DC4A4E">
              <w:t>.047</w:t>
            </w:r>
          </w:p>
        </w:tc>
      </w:tr>
      <w:tr w:rsidR="00460223" w:rsidRPr="00DC4A4E" w14:paraId="1189DA67" w14:textId="1AF4E16D" w:rsidTr="00E81F26">
        <w:trPr>
          <w:trHeight w:val="236"/>
          <w:jc w:val="center"/>
        </w:trPr>
        <w:tc>
          <w:tcPr>
            <w:tcW w:w="2755" w:type="dxa"/>
            <w:shd w:val="clear" w:color="auto" w:fill="auto"/>
            <w:noWrap/>
            <w:vAlign w:val="center"/>
            <w:hideMark/>
          </w:tcPr>
          <w:p w14:paraId="799B2DB6" w14:textId="1D41E235" w:rsidR="00460223" w:rsidRPr="00DC4A4E" w:rsidRDefault="00460223" w:rsidP="001F7968">
            <w:pPr>
              <w:pStyle w:val="HED-tablebody"/>
              <w:jc w:val="left"/>
              <w:rPr>
                <w:b/>
                <w:bCs/>
              </w:rPr>
            </w:pPr>
            <w:r w:rsidRPr="00DC4A4E">
              <w:rPr>
                <w:b/>
                <w:bCs/>
              </w:rPr>
              <w:t>Linear-by-Linear Association</w:t>
            </w:r>
          </w:p>
        </w:tc>
        <w:tc>
          <w:tcPr>
            <w:tcW w:w="1498" w:type="dxa"/>
            <w:shd w:val="clear" w:color="auto" w:fill="auto"/>
            <w:noWrap/>
            <w:vAlign w:val="center"/>
            <w:hideMark/>
          </w:tcPr>
          <w:p w14:paraId="5135A1B7" w14:textId="56B2A710" w:rsidR="00460223" w:rsidRPr="00DC4A4E" w:rsidRDefault="00460223" w:rsidP="00AA27C9">
            <w:pPr>
              <w:pStyle w:val="HED-tablebody"/>
              <w:jc w:val="right"/>
            </w:pPr>
            <w:r w:rsidRPr="00DC4A4E">
              <w:t>3.345</w:t>
            </w:r>
          </w:p>
        </w:tc>
        <w:tc>
          <w:tcPr>
            <w:tcW w:w="987" w:type="dxa"/>
            <w:vAlign w:val="center"/>
          </w:tcPr>
          <w:p w14:paraId="3193C1FB" w14:textId="1EC0034E" w:rsidR="00460223" w:rsidRPr="00DC4A4E" w:rsidRDefault="00460223" w:rsidP="00AA27C9">
            <w:pPr>
              <w:pStyle w:val="HED-tablebody"/>
              <w:jc w:val="right"/>
            </w:pPr>
            <w:r w:rsidRPr="00DC4A4E">
              <w:t>1</w:t>
            </w:r>
          </w:p>
        </w:tc>
        <w:tc>
          <w:tcPr>
            <w:tcW w:w="2009" w:type="dxa"/>
            <w:vAlign w:val="center"/>
          </w:tcPr>
          <w:p w14:paraId="3F78D5D0" w14:textId="4780DA70" w:rsidR="00460223" w:rsidRPr="00DC4A4E" w:rsidRDefault="00460223" w:rsidP="00AA27C9">
            <w:pPr>
              <w:pStyle w:val="HED-tablebody"/>
              <w:jc w:val="right"/>
            </w:pPr>
            <w:r w:rsidRPr="00DC4A4E">
              <w:t>.067</w:t>
            </w:r>
          </w:p>
        </w:tc>
      </w:tr>
      <w:tr w:rsidR="00460223" w:rsidRPr="00DC4A4E" w14:paraId="1ADC9ABB" w14:textId="19AF546C" w:rsidTr="00E81F26">
        <w:trPr>
          <w:trHeight w:val="236"/>
          <w:jc w:val="center"/>
        </w:trPr>
        <w:tc>
          <w:tcPr>
            <w:tcW w:w="2755" w:type="dxa"/>
            <w:shd w:val="clear" w:color="auto" w:fill="auto"/>
            <w:noWrap/>
            <w:vAlign w:val="center"/>
            <w:hideMark/>
          </w:tcPr>
          <w:p w14:paraId="708C4AA0" w14:textId="7931D403" w:rsidR="00460223" w:rsidRPr="00DC4A4E" w:rsidRDefault="00460223" w:rsidP="001F7968">
            <w:pPr>
              <w:pStyle w:val="HED-tablebody"/>
              <w:jc w:val="left"/>
              <w:rPr>
                <w:b/>
                <w:bCs/>
              </w:rPr>
            </w:pPr>
            <w:r w:rsidRPr="00DC4A4E">
              <w:rPr>
                <w:b/>
                <w:bCs/>
              </w:rPr>
              <w:t>N of Valid Cases</w:t>
            </w:r>
          </w:p>
        </w:tc>
        <w:tc>
          <w:tcPr>
            <w:tcW w:w="1498" w:type="dxa"/>
            <w:shd w:val="clear" w:color="auto" w:fill="auto"/>
            <w:noWrap/>
            <w:vAlign w:val="center"/>
            <w:hideMark/>
          </w:tcPr>
          <w:p w14:paraId="5117D895" w14:textId="154BE5FE" w:rsidR="00460223" w:rsidRPr="00DC4A4E" w:rsidRDefault="00E81F26" w:rsidP="00AA27C9">
            <w:pPr>
              <w:pStyle w:val="HED-tablebody"/>
              <w:jc w:val="right"/>
            </w:pPr>
            <w:r w:rsidRPr="00DC4A4E">
              <w:t>69</w:t>
            </w:r>
          </w:p>
        </w:tc>
        <w:tc>
          <w:tcPr>
            <w:tcW w:w="987" w:type="dxa"/>
            <w:vAlign w:val="center"/>
          </w:tcPr>
          <w:p w14:paraId="7AEE62F6" w14:textId="77777777" w:rsidR="00460223" w:rsidRPr="00DC4A4E" w:rsidRDefault="00460223" w:rsidP="00AA27C9">
            <w:pPr>
              <w:pStyle w:val="HED-tablebody"/>
              <w:jc w:val="right"/>
            </w:pPr>
          </w:p>
        </w:tc>
        <w:tc>
          <w:tcPr>
            <w:tcW w:w="2009" w:type="dxa"/>
            <w:vAlign w:val="center"/>
          </w:tcPr>
          <w:p w14:paraId="76466E20" w14:textId="77777777" w:rsidR="00460223" w:rsidRPr="00DC4A4E" w:rsidRDefault="00460223" w:rsidP="00AA27C9">
            <w:pPr>
              <w:pStyle w:val="HED-tablebody"/>
              <w:jc w:val="right"/>
            </w:pPr>
          </w:p>
        </w:tc>
      </w:tr>
    </w:tbl>
    <w:p w14:paraId="4AFC3105" w14:textId="77777777" w:rsidR="00DC4A4E" w:rsidRPr="00DC4A4E" w:rsidRDefault="00DC4A4E" w:rsidP="00DC4A4E">
      <w:pPr>
        <w:pStyle w:val="HED-text"/>
      </w:pPr>
    </w:p>
    <w:p w14:paraId="705CE9F7" w14:textId="5A50A2EC" w:rsidR="003B77E2" w:rsidRPr="00DC4A4E" w:rsidRDefault="00F91CB7" w:rsidP="009F7957">
      <w:pPr>
        <w:pStyle w:val="HED-text"/>
      </w:pPr>
      <w:r w:rsidRPr="00DC4A4E">
        <w:t>The value of P (emp</w:t>
      </w:r>
      <w:r w:rsidR="003E094A" w:rsidRPr="00DC4A4E">
        <w:t>irical significance level) is 0.</w:t>
      </w:r>
      <w:r w:rsidRPr="00DC4A4E">
        <w:t>053, which is higher tha</w:t>
      </w:r>
      <w:r w:rsidR="003E094A" w:rsidRPr="00DC4A4E">
        <w:t>n the significance level (α = 0.</w:t>
      </w:r>
      <w:r w:rsidRPr="00DC4A4E">
        <w:t>05). Based on these results, there is no relationship between following social media site of the football club and the differentiation based on the age of the fans. Since there is no relationship, it is not necessary to examine the relation</w:t>
      </w:r>
      <w:r w:rsidR="004F4C27" w:rsidRPr="00DC4A4E">
        <w:t>ship between the two variables.</w:t>
      </w:r>
    </w:p>
    <w:p w14:paraId="282AF30B" w14:textId="76308E94" w:rsidR="00F91CB7" w:rsidRPr="00DC4A4E" w:rsidRDefault="00F91CB7" w:rsidP="00A00240">
      <w:pPr>
        <w:pStyle w:val="HED-text"/>
      </w:pPr>
      <w:r w:rsidRPr="00DC4A4E">
        <w:t>A</w:t>
      </w:r>
      <w:r w:rsidR="00A00240" w:rsidRPr="00DC4A4E">
        <w:t xml:space="preserve">ccording to our H2 hypothesis: </w:t>
      </w:r>
      <w:r w:rsidRPr="00DC4A4E">
        <w:rPr>
          <w:i/>
          <w:iCs/>
        </w:rPr>
        <w:t>Members of the younger generation received a higher proportion of fan souvenirs than they gave to others as a gift.</w:t>
      </w:r>
    </w:p>
    <w:p w14:paraId="6C56BD19" w14:textId="1D8DAD7F" w:rsidR="00F91CB7" w:rsidRDefault="00F91CB7" w:rsidP="00F91CB7">
      <w:pPr>
        <w:pStyle w:val="HED-text"/>
      </w:pPr>
      <w:r w:rsidRPr="00DC4A4E">
        <w:t xml:space="preserve">We wanted to examine the relationship between differentiation based on age group (independent, ordinal) and whether the representatives of age groups had purchased a souvenir from the </w:t>
      </w:r>
      <w:proofErr w:type="spellStart"/>
      <w:r w:rsidRPr="00DC4A4E">
        <w:t>webshop</w:t>
      </w:r>
      <w:proofErr w:type="spellEnd"/>
      <w:r w:rsidRPr="00DC4A4E">
        <w:t>/souvenir shop of the football club (dependent/ordinal). We</w:t>
      </w:r>
      <w:r w:rsidR="00236A29">
        <w:t> </w:t>
      </w:r>
      <w:r w:rsidRPr="00DC4A4E">
        <w:t>performed an independence analysis. First, we got the following value</w:t>
      </w:r>
      <w:r w:rsidR="00460908">
        <w:t xml:space="preserve"> (Figure 2)</w:t>
      </w:r>
      <w:r w:rsidRPr="00DC4A4E">
        <w:t>:</w:t>
      </w:r>
    </w:p>
    <w:p w14:paraId="79361C2D" w14:textId="77777777" w:rsidR="000674DA" w:rsidRPr="00DC4A4E" w:rsidRDefault="000674DA" w:rsidP="00F91CB7">
      <w:pPr>
        <w:pStyle w:val="HED-text"/>
      </w:pPr>
    </w:p>
    <w:p w14:paraId="06AF46ED" w14:textId="78F64805" w:rsidR="00F91CB7" w:rsidRPr="00DC4A4E" w:rsidRDefault="00F91CB7" w:rsidP="00DC4A4E">
      <w:pPr>
        <w:pStyle w:val="HED-figure"/>
      </w:pPr>
      <w:r w:rsidRPr="00DC4A4E">
        <w:rPr>
          <w:noProof/>
          <w:lang w:val="hu-HU" w:eastAsia="hu-HU"/>
        </w:rPr>
        <w:drawing>
          <wp:inline distT="0" distB="0" distL="0" distR="0" wp14:anchorId="1B35E493" wp14:editId="1C48E461">
            <wp:extent cx="4568825" cy="2740025"/>
            <wp:effectExtent l="0" t="0" r="3175" b="3175"/>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D149CB" w14:textId="07B7396B" w:rsidR="00F91CB7" w:rsidRPr="00DC4A4E" w:rsidRDefault="00F91CB7" w:rsidP="00DC4A4E">
      <w:pPr>
        <w:pStyle w:val="HED-figurecaption"/>
      </w:pPr>
      <w:r w:rsidRPr="00DC4A4E">
        <w:rPr>
          <w:b/>
        </w:rPr>
        <w:t>Figure 2.</w:t>
      </w:r>
      <w:r w:rsidRPr="00DC4A4E">
        <w:t xml:space="preserve"> The relationship between the age of the respondents and the purchase</w:t>
      </w:r>
    </w:p>
    <w:p w14:paraId="1D10CB3A" w14:textId="4E791B7A" w:rsidR="00F91CB7" w:rsidRPr="00DC4A4E" w:rsidRDefault="00F91CB7" w:rsidP="00DC4A4E">
      <w:pPr>
        <w:pStyle w:val="HED-tablecaption"/>
      </w:pPr>
      <w:r w:rsidRPr="00DC4A4E">
        <w:rPr>
          <w:b/>
          <w:bCs/>
        </w:rPr>
        <w:t>Table 3.</w:t>
      </w:r>
      <w:r w:rsidRPr="00DC4A4E">
        <w:t xml:space="preserve"> The result of the Pearson Chi-Square test – Hypothesis 2</w:t>
      </w:r>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55"/>
        <w:gridCol w:w="1498"/>
        <w:gridCol w:w="987"/>
        <w:gridCol w:w="2009"/>
      </w:tblGrid>
      <w:tr w:rsidR="00F91CB7" w:rsidRPr="00DC4A4E" w14:paraId="09E07777" w14:textId="77777777" w:rsidTr="004E4A0F">
        <w:trPr>
          <w:trHeight w:val="236"/>
          <w:jc w:val="center"/>
        </w:trPr>
        <w:tc>
          <w:tcPr>
            <w:tcW w:w="2755" w:type="dxa"/>
            <w:shd w:val="clear" w:color="auto" w:fill="auto"/>
            <w:noWrap/>
            <w:vAlign w:val="center"/>
            <w:hideMark/>
          </w:tcPr>
          <w:p w14:paraId="28512678" w14:textId="77777777" w:rsidR="00F91CB7" w:rsidRPr="00DC4A4E" w:rsidRDefault="00F91CB7" w:rsidP="001F7968">
            <w:pPr>
              <w:pStyle w:val="HED-tablebody"/>
              <w:jc w:val="left"/>
            </w:pPr>
          </w:p>
        </w:tc>
        <w:tc>
          <w:tcPr>
            <w:tcW w:w="1498" w:type="dxa"/>
            <w:shd w:val="clear" w:color="auto" w:fill="auto"/>
            <w:noWrap/>
            <w:vAlign w:val="center"/>
            <w:hideMark/>
          </w:tcPr>
          <w:p w14:paraId="4C3D9E7D" w14:textId="77777777" w:rsidR="00F91CB7" w:rsidRPr="00DC4A4E" w:rsidRDefault="00F91CB7" w:rsidP="00AA27C9">
            <w:pPr>
              <w:pStyle w:val="HED-tablebody"/>
              <w:rPr>
                <w:b/>
                <w:bCs/>
              </w:rPr>
            </w:pPr>
            <w:r w:rsidRPr="00DC4A4E">
              <w:rPr>
                <w:b/>
                <w:bCs/>
              </w:rPr>
              <w:t>Value</w:t>
            </w:r>
          </w:p>
        </w:tc>
        <w:tc>
          <w:tcPr>
            <w:tcW w:w="987" w:type="dxa"/>
            <w:vAlign w:val="center"/>
          </w:tcPr>
          <w:p w14:paraId="72F5F387" w14:textId="77777777" w:rsidR="00F91CB7" w:rsidRPr="00DC4A4E" w:rsidRDefault="00F91CB7" w:rsidP="00AA27C9">
            <w:pPr>
              <w:pStyle w:val="HED-tablebody"/>
              <w:rPr>
                <w:b/>
                <w:bCs/>
              </w:rPr>
            </w:pPr>
            <w:r w:rsidRPr="00DC4A4E">
              <w:rPr>
                <w:b/>
                <w:bCs/>
              </w:rPr>
              <w:t>df</w:t>
            </w:r>
          </w:p>
        </w:tc>
        <w:tc>
          <w:tcPr>
            <w:tcW w:w="2009" w:type="dxa"/>
            <w:vAlign w:val="center"/>
          </w:tcPr>
          <w:p w14:paraId="608C853E" w14:textId="77777777" w:rsidR="00F91CB7" w:rsidRPr="00DC4A4E" w:rsidRDefault="00F91CB7" w:rsidP="00AA27C9">
            <w:pPr>
              <w:pStyle w:val="HED-tablebody"/>
              <w:rPr>
                <w:b/>
                <w:bCs/>
              </w:rPr>
            </w:pPr>
            <w:proofErr w:type="spellStart"/>
            <w:r w:rsidRPr="00DC4A4E">
              <w:rPr>
                <w:b/>
                <w:bCs/>
              </w:rPr>
              <w:t>Asymp</w:t>
            </w:r>
            <w:proofErr w:type="spellEnd"/>
            <w:r w:rsidRPr="00DC4A4E">
              <w:rPr>
                <w:b/>
                <w:bCs/>
              </w:rPr>
              <w:t>. Sig. (2-sided)</w:t>
            </w:r>
          </w:p>
        </w:tc>
      </w:tr>
      <w:tr w:rsidR="00F91CB7" w:rsidRPr="00DC4A4E" w14:paraId="2930B1C8" w14:textId="77777777" w:rsidTr="004E4A0F">
        <w:trPr>
          <w:trHeight w:val="236"/>
          <w:jc w:val="center"/>
        </w:trPr>
        <w:tc>
          <w:tcPr>
            <w:tcW w:w="2755" w:type="dxa"/>
            <w:shd w:val="clear" w:color="auto" w:fill="auto"/>
            <w:noWrap/>
            <w:vAlign w:val="center"/>
            <w:hideMark/>
          </w:tcPr>
          <w:p w14:paraId="0353BED7" w14:textId="77777777" w:rsidR="00F91CB7" w:rsidRPr="00DC4A4E" w:rsidRDefault="00F91CB7" w:rsidP="001F7968">
            <w:pPr>
              <w:pStyle w:val="HED-tablebody"/>
              <w:jc w:val="left"/>
              <w:rPr>
                <w:b/>
                <w:bCs/>
              </w:rPr>
            </w:pPr>
            <w:r w:rsidRPr="00DC4A4E">
              <w:rPr>
                <w:b/>
                <w:bCs/>
              </w:rPr>
              <w:t>Pearson Chi-Square</w:t>
            </w:r>
          </w:p>
        </w:tc>
        <w:tc>
          <w:tcPr>
            <w:tcW w:w="1498" w:type="dxa"/>
            <w:shd w:val="clear" w:color="auto" w:fill="auto"/>
            <w:noWrap/>
            <w:vAlign w:val="center"/>
            <w:hideMark/>
          </w:tcPr>
          <w:p w14:paraId="3ECCF0D5" w14:textId="00BB063E" w:rsidR="00F91CB7" w:rsidRPr="00DC4A4E" w:rsidRDefault="00F91CB7" w:rsidP="00AA27C9">
            <w:pPr>
              <w:pStyle w:val="HED-tablebody"/>
              <w:jc w:val="right"/>
            </w:pPr>
            <w:r w:rsidRPr="00DC4A4E">
              <w:t>53.195</w:t>
            </w:r>
          </w:p>
        </w:tc>
        <w:tc>
          <w:tcPr>
            <w:tcW w:w="987" w:type="dxa"/>
            <w:vAlign w:val="center"/>
          </w:tcPr>
          <w:p w14:paraId="573FF418" w14:textId="572060DE" w:rsidR="00F91CB7" w:rsidRPr="00DC4A4E" w:rsidRDefault="00F91CB7" w:rsidP="00AA27C9">
            <w:pPr>
              <w:pStyle w:val="HED-tablebody"/>
              <w:jc w:val="right"/>
            </w:pPr>
            <w:r w:rsidRPr="00DC4A4E">
              <w:t>6</w:t>
            </w:r>
          </w:p>
        </w:tc>
        <w:tc>
          <w:tcPr>
            <w:tcW w:w="2009" w:type="dxa"/>
            <w:vAlign w:val="center"/>
          </w:tcPr>
          <w:p w14:paraId="4B842FF5" w14:textId="630E72EB" w:rsidR="00F91CB7" w:rsidRPr="00DC4A4E" w:rsidRDefault="00F91CB7" w:rsidP="00AA27C9">
            <w:pPr>
              <w:pStyle w:val="HED-tablebody"/>
              <w:jc w:val="right"/>
            </w:pPr>
            <w:r w:rsidRPr="00DC4A4E">
              <w:t>.000</w:t>
            </w:r>
          </w:p>
        </w:tc>
      </w:tr>
      <w:tr w:rsidR="00F91CB7" w:rsidRPr="00DC4A4E" w14:paraId="06D2E093" w14:textId="77777777" w:rsidTr="004E4A0F">
        <w:trPr>
          <w:trHeight w:val="236"/>
          <w:jc w:val="center"/>
        </w:trPr>
        <w:tc>
          <w:tcPr>
            <w:tcW w:w="2755" w:type="dxa"/>
            <w:shd w:val="clear" w:color="auto" w:fill="auto"/>
            <w:noWrap/>
            <w:vAlign w:val="center"/>
            <w:hideMark/>
          </w:tcPr>
          <w:p w14:paraId="4C210F16" w14:textId="77777777" w:rsidR="00F91CB7" w:rsidRPr="00DC4A4E" w:rsidRDefault="00F91CB7" w:rsidP="001F7968">
            <w:pPr>
              <w:pStyle w:val="HED-tablebody"/>
              <w:jc w:val="left"/>
              <w:rPr>
                <w:b/>
                <w:bCs/>
              </w:rPr>
            </w:pPr>
            <w:r w:rsidRPr="00DC4A4E">
              <w:rPr>
                <w:b/>
                <w:bCs/>
              </w:rPr>
              <w:t>Likelihood Ratio</w:t>
            </w:r>
          </w:p>
        </w:tc>
        <w:tc>
          <w:tcPr>
            <w:tcW w:w="1498" w:type="dxa"/>
            <w:shd w:val="clear" w:color="auto" w:fill="auto"/>
            <w:noWrap/>
            <w:vAlign w:val="center"/>
            <w:hideMark/>
          </w:tcPr>
          <w:p w14:paraId="2B4C9922" w14:textId="5E2E3992" w:rsidR="00F91CB7" w:rsidRPr="00DC4A4E" w:rsidRDefault="00F91CB7" w:rsidP="00AA27C9">
            <w:pPr>
              <w:pStyle w:val="HED-tablebody"/>
              <w:jc w:val="right"/>
            </w:pPr>
            <w:r w:rsidRPr="00DC4A4E">
              <w:t>55.196</w:t>
            </w:r>
          </w:p>
        </w:tc>
        <w:tc>
          <w:tcPr>
            <w:tcW w:w="987" w:type="dxa"/>
            <w:vAlign w:val="center"/>
          </w:tcPr>
          <w:p w14:paraId="349B7489" w14:textId="3B2355BE" w:rsidR="00F91CB7" w:rsidRPr="00DC4A4E" w:rsidRDefault="00F91CB7" w:rsidP="00AA27C9">
            <w:pPr>
              <w:pStyle w:val="HED-tablebody"/>
              <w:jc w:val="right"/>
            </w:pPr>
            <w:r w:rsidRPr="00DC4A4E">
              <w:t>6</w:t>
            </w:r>
          </w:p>
        </w:tc>
        <w:tc>
          <w:tcPr>
            <w:tcW w:w="2009" w:type="dxa"/>
            <w:vAlign w:val="center"/>
          </w:tcPr>
          <w:p w14:paraId="4AD274AD" w14:textId="543575B3" w:rsidR="00F91CB7" w:rsidRPr="00DC4A4E" w:rsidRDefault="00F91CB7" w:rsidP="00AA27C9">
            <w:pPr>
              <w:pStyle w:val="HED-tablebody"/>
              <w:jc w:val="right"/>
            </w:pPr>
            <w:r w:rsidRPr="00DC4A4E">
              <w:t>.000</w:t>
            </w:r>
          </w:p>
        </w:tc>
      </w:tr>
      <w:tr w:rsidR="00F91CB7" w:rsidRPr="00DC4A4E" w14:paraId="18AB3193" w14:textId="77777777" w:rsidTr="004E4A0F">
        <w:trPr>
          <w:trHeight w:val="236"/>
          <w:jc w:val="center"/>
        </w:trPr>
        <w:tc>
          <w:tcPr>
            <w:tcW w:w="2755" w:type="dxa"/>
            <w:shd w:val="clear" w:color="auto" w:fill="auto"/>
            <w:noWrap/>
            <w:vAlign w:val="center"/>
            <w:hideMark/>
          </w:tcPr>
          <w:p w14:paraId="62FE2511" w14:textId="77777777" w:rsidR="00F91CB7" w:rsidRPr="00DC4A4E" w:rsidRDefault="00F91CB7" w:rsidP="001F7968">
            <w:pPr>
              <w:pStyle w:val="HED-tablebody"/>
              <w:jc w:val="left"/>
              <w:rPr>
                <w:b/>
                <w:bCs/>
              </w:rPr>
            </w:pPr>
            <w:r w:rsidRPr="00DC4A4E">
              <w:rPr>
                <w:b/>
                <w:bCs/>
              </w:rPr>
              <w:t>Linear-by-Linear Association</w:t>
            </w:r>
          </w:p>
        </w:tc>
        <w:tc>
          <w:tcPr>
            <w:tcW w:w="1498" w:type="dxa"/>
            <w:shd w:val="clear" w:color="auto" w:fill="auto"/>
            <w:noWrap/>
            <w:vAlign w:val="center"/>
            <w:hideMark/>
          </w:tcPr>
          <w:p w14:paraId="4AE0E9D2" w14:textId="41C36653" w:rsidR="00F91CB7" w:rsidRPr="00DC4A4E" w:rsidRDefault="00F91CB7" w:rsidP="00AA27C9">
            <w:pPr>
              <w:pStyle w:val="HED-tablebody"/>
              <w:jc w:val="right"/>
            </w:pPr>
            <w:r w:rsidRPr="00DC4A4E">
              <w:t>.861</w:t>
            </w:r>
          </w:p>
        </w:tc>
        <w:tc>
          <w:tcPr>
            <w:tcW w:w="987" w:type="dxa"/>
            <w:vAlign w:val="center"/>
          </w:tcPr>
          <w:p w14:paraId="317705AA" w14:textId="0352896B" w:rsidR="00F91CB7" w:rsidRPr="00DC4A4E" w:rsidRDefault="00F91CB7" w:rsidP="00AA27C9">
            <w:pPr>
              <w:pStyle w:val="HED-tablebody"/>
              <w:jc w:val="right"/>
            </w:pPr>
            <w:r w:rsidRPr="00DC4A4E">
              <w:t>1</w:t>
            </w:r>
          </w:p>
        </w:tc>
        <w:tc>
          <w:tcPr>
            <w:tcW w:w="2009" w:type="dxa"/>
            <w:vAlign w:val="center"/>
          </w:tcPr>
          <w:p w14:paraId="3E212592" w14:textId="78FBE42A" w:rsidR="00F91CB7" w:rsidRPr="00DC4A4E" w:rsidRDefault="003E094A" w:rsidP="00AA27C9">
            <w:pPr>
              <w:pStyle w:val="HED-tablebody"/>
              <w:jc w:val="right"/>
            </w:pPr>
            <w:r w:rsidRPr="00DC4A4E">
              <w:t>.</w:t>
            </w:r>
            <w:r w:rsidR="00F91CB7" w:rsidRPr="00DC4A4E">
              <w:t>353</w:t>
            </w:r>
          </w:p>
        </w:tc>
      </w:tr>
      <w:tr w:rsidR="00F91CB7" w:rsidRPr="00DC4A4E" w14:paraId="489FF6F5" w14:textId="77777777" w:rsidTr="004E4A0F">
        <w:trPr>
          <w:trHeight w:val="236"/>
          <w:jc w:val="center"/>
        </w:trPr>
        <w:tc>
          <w:tcPr>
            <w:tcW w:w="2755" w:type="dxa"/>
            <w:shd w:val="clear" w:color="auto" w:fill="auto"/>
            <w:noWrap/>
            <w:vAlign w:val="center"/>
            <w:hideMark/>
          </w:tcPr>
          <w:p w14:paraId="7A999E94" w14:textId="77777777" w:rsidR="00F91CB7" w:rsidRPr="00DC4A4E" w:rsidRDefault="00F91CB7" w:rsidP="001F7968">
            <w:pPr>
              <w:pStyle w:val="HED-tablebody"/>
              <w:jc w:val="left"/>
              <w:rPr>
                <w:b/>
                <w:bCs/>
              </w:rPr>
            </w:pPr>
            <w:r w:rsidRPr="00DC4A4E">
              <w:rPr>
                <w:b/>
                <w:bCs/>
              </w:rPr>
              <w:t>N of Valid Cases</w:t>
            </w:r>
          </w:p>
        </w:tc>
        <w:tc>
          <w:tcPr>
            <w:tcW w:w="1498" w:type="dxa"/>
            <w:shd w:val="clear" w:color="auto" w:fill="auto"/>
            <w:noWrap/>
            <w:vAlign w:val="center"/>
            <w:hideMark/>
          </w:tcPr>
          <w:p w14:paraId="72658D39" w14:textId="1A32FAE6" w:rsidR="00F91CB7" w:rsidRPr="00DC4A4E" w:rsidRDefault="00F91CB7" w:rsidP="00AA27C9">
            <w:pPr>
              <w:pStyle w:val="HED-tablebody"/>
              <w:jc w:val="right"/>
            </w:pPr>
            <w:r w:rsidRPr="00DC4A4E">
              <w:t>410</w:t>
            </w:r>
          </w:p>
        </w:tc>
        <w:tc>
          <w:tcPr>
            <w:tcW w:w="987" w:type="dxa"/>
            <w:vAlign w:val="center"/>
          </w:tcPr>
          <w:p w14:paraId="3CE7AE7B" w14:textId="77777777" w:rsidR="00F91CB7" w:rsidRPr="00DC4A4E" w:rsidRDefault="00F91CB7" w:rsidP="00AA27C9">
            <w:pPr>
              <w:pStyle w:val="HED-tablebody"/>
              <w:jc w:val="right"/>
            </w:pPr>
          </w:p>
        </w:tc>
        <w:tc>
          <w:tcPr>
            <w:tcW w:w="2009" w:type="dxa"/>
            <w:vAlign w:val="center"/>
          </w:tcPr>
          <w:p w14:paraId="1F1D7861" w14:textId="77777777" w:rsidR="00F91CB7" w:rsidRPr="00DC4A4E" w:rsidRDefault="00F91CB7" w:rsidP="00AA27C9">
            <w:pPr>
              <w:pStyle w:val="HED-tablebody"/>
              <w:jc w:val="right"/>
            </w:pPr>
          </w:p>
        </w:tc>
      </w:tr>
    </w:tbl>
    <w:p w14:paraId="3BD1E70D" w14:textId="77777777" w:rsidR="00F91CB7" w:rsidRPr="00DC4A4E" w:rsidRDefault="00F91CB7" w:rsidP="000C2984">
      <w:pPr>
        <w:pStyle w:val="HED-text"/>
      </w:pPr>
    </w:p>
    <w:p w14:paraId="36FDD54D" w14:textId="5FDFC795" w:rsidR="009326E7" w:rsidRPr="00DC4A4E" w:rsidRDefault="009326E7" w:rsidP="009326E7">
      <w:pPr>
        <w:pStyle w:val="HED-text"/>
      </w:pPr>
      <w:r w:rsidRPr="00DC4A4E">
        <w:t xml:space="preserve">Again, both variables are ordinal in nature, so a crosstab was used in this case as well. Our basic statement was that there is no relationship between the two examined variables. The rule of the feasibility of the test was met, so we applied the Pearson’s Chi-square (χ2) </w:t>
      </w:r>
      <w:r w:rsidRPr="00DC4A4E">
        <w:lastRenderedPageBreak/>
        <w:t>test. Our basic statement was that there is no relationship between the examined variables (income, expenditure). Using SPSS, we obtained the following values</w:t>
      </w:r>
      <w:r>
        <w:t xml:space="preserve"> (see Table 3).</w:t>
      </w:r>
    </w:p>
    <w:p w14:paraId="3D4A5CB1" w14:textId="3504A92D" w:rsidR="00F91CB7" w:rsidRPr="00DC4A4E" w:rsidRDefault="00F91CB7" w:rsidP="00DC4A4E">
      <w:pPr>
        <w:pStyle w:val="HED-text"/>
        <w:rPr>
          <w:i/>
        </w:rPr>
      </w:pPr>
      <w:r w:rsidRPr="00DC4A4E">
        <w:t>The value of the Chi-Square is 53</w:t>
      </w:r>
      <w:r w:rsidR="008813C2" w:rsidRPr="00DC4A4E">
        <w:t>.</w:t>
      </w:r>
      <w:r w:rsidRPr="00DC4A4E">
        <w:t xml:space="preserve">196. The value of the degree of freedom (df) is 6. </w:t>
      </w:r>
      <w:r w:rsidR="003E094A" w:rsidRPr="00DC4A4E">
        <w:t>The significance value (α) is 0.</w:t>
      </w:r>
      <w:r w:rsidRPr="00DC4A4E">
        <w:t xml:space="preserve">05. The critical value of </w:t>
      </w:r>
      <w:r w:rsidRPr="00DC4A4E">
        <w:rPr>
          <w:i/>
        </w:rPr>
        <w:t>χ2</w:t>
      </w:r>
      <w:r w:rsidRPr="00DC4A4E">
        <w:t xml:space="preserve"> distribution (degree of freed</w:t>
      </w:r>
      <w:r w:rsidR="003E094A" w:rsidRPr="00DC4A4E">
        <w:t>om (df)=6, significance level=0.</w:t>
      </w:r>
      <w:r w:rsidRPr="00DC4A4E">
        <w:t>05) based on the table of the quantile values of Chi-Square distribution is 12</w:t>
      </w:r>
      <w:r w:rsidR="00B51FC5">
        <w:t>.</w:t>
      </w:r>
      <w:r w:rsidRPr="00DC4A4E">
        <w:t>592. According to this, 53</w:t>
      </w:r>
      <w:r w:rsidR="008813C2" w:rsidRPr="00DC4A4E">
        <w:t>.</w:t>
      </w:r>
      <w:r w:rsidRPr="00DC4A4E">
        <w:t>195</w:t>
      </w:r>
      <w:r w:rsidR="00B51FC5">
        <w:t xml:space="preserve"> </w:t>
      </w:r>
      <w:r w:rsidRPr="00DC4A4E">
        <w:t>&gt;</w:t>
      </w:r>
      <w:r w:rsidR="00B51FC5">
        <w:t xml:space="preserve"> </w:t>
      </w:r>
      <w:r w:rsidRPr="00DC4A4E">
        <w:t>12</w:t>
      </w:r>
      <w:r w:rsidR="008813C2" w:rsidRPr="00DC4A4E">
        <w:t>.</w:t>
      </w:r>
      <w:r w:rsidRPr="00DC4A4E">
        <w:t xml:space="preserve">592, which means that </w:t>
      </w:r>
      <w:r w:rsidRPr="00DC4A4E">
        <w:rPr>
          <w:i/>
        </w:rPr>
        <w:t>χ2 &gt; χ2 crit.</w:t>
      </w:r>
    </w:p>
    <w:p w14:paraId="24B6B081" w14:textId="124E2CDA" w:rsidR="0086572D" w:rsidRPr="00DC4A4E" w:rsidRDefault="0086572D" w:rsidP="0086572D">
      <w:pPr>
        <w:pStyle w:val="HED-text"/>
      </w:pPr>
      <w:r w:rsidRPr="00DC4A4E">
        <w:t>Furthermore, the value of P (emp</w:t>
      </w:r>
      <w:r w:rsidR="003E094A" w:rsidRPr="00DC4A4E">
        <w:t>irical significance level) is 0.</w:t>
      </w:r>
      <w:r w:rsidRPr="00DC4A4E">
        <w:t>000, which is lower than t</w:t>
      </w:r>
      <w:r w:rsidR="003E094A" w:rsidRPr="00DC4A4E">
        <w:t>he level of significance (α = 0.</w:t>
      </w:r>
      <w:r w:rsidRPr="00DC4A4E">
        <w:t>05). The obtained results prove that there is a relationship between belonging to a generation group and whether members of these groups received or purchased a gift from the web</w:t>
      </w:r>
      <w:r w:rsidR="008813C2" w:rsidRPr="00DC4A4E">
        <w:t>-</w:t>
      </w:r>
      <w:r w:rsidRPr="00DC4A4E">
        <w:t xml:space="preserve">shop or souvenir shop of the football club. </w:t>
      </w:r>
    </w:p>
    <w:p w14:paraId="3AB21688" w14:textId="43C9FAF4" w:rsidR="00F91CB7" w:rsidRPr="00DC4A4E" w:rsidRDefault="0086572D" w:rsidP="0086572D">
      <w:pPr>
        <w:pStyle w:val="HED-text"/>
      </w:pPr>
      <w:r w:rsidRPr="00DC4A4E">
        <w:t>Since there is a significant relationship between the two ordinal variables, it is necessary to examine the Gamma coefficient. The results were obtained by using</w:t>
      </w:r>
      <w:r w:rsidR="003E094A" w:rsidRPr="00DC4A4E">
        <w:t xml:space="preserve"> SPSS program. The value is </w:t>
      </w:r>
      <w:r w:rsidR="005D5BCD">
        <w:t>−</w:t>
      </w:r>
      <w:r w:rsidR="003E094A" w:rsidRPr="00DC4A4E">
        <w:t>0.</w:t>
      </w:r>
      <w:r w:rsidRPr="00DC4A4E">
        <w:t>06, which shows a weak negative relationship between the variables.</w:t>
      </w:r>
    </w:p>
    <w:p w14:paraId="32A51CB5" w14:textId="35B5C5D0" w:rsidR="0086572D" w:rsidRPr="00DC4A4E" w:rsidRDefault="0086572D" w:rsidP="00DC4A4E">
      <w:pPr>
        <w:pStyle w:val="HED-tablecaption"/>
      </w:pPr>
      <w:r w:rsidRPr="00DC4A4E">
        <w:rPr>
          <w:b/>
          <w:bCs/>
        </w:rPr>
        <w:t>Table 4.</w:t>
      </w:r>
      <w:r w:rsidRPr="00DC4A4E">
        <w:t xml:space="preserve"> The value of Gamma coefficient – Hypothesis 2</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56"/>
        <w:gridCol w:w="1329"/>
        <w:gridCol w:w="872"/>
        <w:gridCol w:w="1701"/>
        <w:gridCol w:w="992"/>
        <w:gridCol w:w="1297"/>
      </w:tblGrid>
      <w:tr w:rsidR="0086572D" w:rsidRPr="00DC4A4E" w14:paraId="2D3DB450" w14:textId="5E065FF1" w:rsidTr="00706422">
        <w:trPr>
          <w:trHeight w:val="236"/>
          <w:jc w:val="center"/>
        </w:trPr>
        <w:tc>
          <w:tcPr>
            <w:tcW w:w="2756" w:type="dxa"/>
            <w:tcBorders>
              <w:bottom w:val="single" w:sz="4" w:space="0" w:color="auto"/>
            </w:tcBorders>
            <w:shd w:val="clear" w:color="auto" w:fill="auto"/>
            <w:noWrap/>
            <w:vAlign w:val="center"/>
            <w:hideMark/>
          </w:tcPr>
          <w:p w14:paraId="034B1C88" w14:textId="77777777" w:rsidR="0086572D" w:rsidRPr="00DC4A4E" w:rsidRDefault="0086572D" w:rsidP="00AA27C9">
            <w:pPr>
              <w:pStyle w:val="HED-tablebody"/>
            </w:pPr>
          </w:p>
        </w:tc>
        <w:tc>
          <w:tcPr>
            <w:tcW w:w="1329" w:type="dxa"/>
            <w:tcBorders>
              <w:bottom w:val="single" w:sz="4" w:space="0" w:color="auto"/>
            </w:tcBorders>
            <w:vAlign w:val="center"/>
          </w:tcPr>
          <w:p w14:paraId="13F7D852" w14:textId="77777777" w:rsidR="0086572D" w:rsidRPr="00DC4A4E" w:rsidRDefault="0086572D" w:rsidP="00AA27C9">
            <w:pPr>
              <w:pStyle w:val="HED-tablebody"/>
            </w:pPr>
          </w:p>
        </w:tc>
        <w:tc>
          <w:tcPr>
            <w:tcW w:w="872" w:type="dxa"/>
            <w:tcBorders>
              <w:bottom w:val="single" w:sz="4" w:space="0" w:color="auto"/>
            </w:tcBorders>
            <w:shd w:val="clear" w:color="auto" w:fill="auto"/>
            <w:noWrap/>
            <w:vAlign w:val="center"/>
            <w:hideMark/>
          </w:tcPr>
          <w:p w14:paraId="73923989" w14:textId="6126437C" w:rsidR="0086572D" w:rsidRPr="00DC4A4E" w:rsidRDefault="0086572D" w:rsidP="00AA27C9">
            <w:pPr>
              <w:pStyle w:val="HED-tablebody"/>
              <w:rPr>
                <w:b/>
                <w:bCs/>
              </w:rPr>
            </w:pPr>
            <w:r w:rsidRPr="00DC4A4E">
              <w:rPr>
                <w:b/>
                <w:bCs/>
              </w:rPr>
              <w:t>Value</w:t>
            </w:r>
          </w:p>
        </w:tc>
        <w:tc>
          <w:tcPr>
            <w:tcW w:w="1701" w:type="dxa"/>
            <w:vAlign w:val="center"/>
          </w:tcPr>
          <w:p w14:paraId="4BB63C73" w14:textId="5B18398D" w:rsidR="0086572D" w:rsidRPr="00DC4A4E" w:rsidRDefault="0086572D" w:rsidP="00AA27C9">
            <w:pPr>
              <w:pStyle w:val="HED-tablebody"/>
              <w:rPr>
                <w:b/>
                <w:bCs/>
              </w:rPr>
            </w:pPr>
            <w:proofErr w:type="spellStart"/>
            <w:r w:rsidRPr="00DC4A4E">
              <w:rPr>
                <w:b/>
                <w:bCs/>
              </w:rPr>
              <w:t>Asymp</w:t>
            </w:r>
            <w:proofErr w:type="spellEnd"/>
            <w:r w:rsidRPr="00DC4A4E">
              <w:rPr>
                <w:b/>
                <w:bCs/>
              </w:rPr>
              <w:t>. Std. Error</w:t>
            </w:r>
          </w:p>
        </w:tc>
        <w:tc>
          <w:tcPr>
            <w:tcW w:w="992" w:type="dxa"/>
            <w:vAlign w:val="center"/>
          </w:tcPr>
          <w:p w14:paraId="2939E61D" w14:textId="3D194D5C" w:rsidR="0086572D" w:rsidRPr="00DC4A4E" w:rsidRDefault="0086572D" w:rsidP="00AA27C9">
            <w:pPr>
              <w:pStyle w:val="HED-tablebody"/>
              <w:rPr>
                <w:b/>
                <w:bCs/>
              </w:rPr>
            </w:pPr>
            <w:r w:rsidRPr="00DC4A4E">
              <w:rPr>
                <w:b/>
                <w:bCs/>
              </w:rPr>
              <w:t>Approx. T</w:t>
            </w:r>
          </w:p>
        </w:tc>
        <w:tc>
          <w:tcPr>
            <w:tcW w:w="1297" w:type="dxa"/>
            <w:vAlign w:val="center"/>
          </w:tcPr>
          <w:p w14:paraId="359B7D76" w14:textId="03029CF9" w:rsidR="0086572D" w:rsidRPr="00DC4A4E" w:rsidRDefault="0086572D" w:rsidP="00AA27C9">
            <w:pPr>
              <w:pStyle w:val="HED-tablebody"/>
              <w:rPr>
                <w:b/>
                <w:bCs/>
              </w:rPr>
            </w:pPr>
            <w:r w:rsidRPr="00DC4A4E">
              <w:rPr>
                <w:b/>
                <w:bCs/>
              </w:rPr>
              <w:t>Approx. Sig.</w:t>
            </w:r>
          </w:p>
        </w:tc>
      </w:tr>
      <w:tr w:rsidR="0086572D" w:rsidRPr="00DC4A4E" w14:paraId="31C059E4" w14:textId="2928FAB3" w:rsidTr="00706422">
        <w:trPr>
          <w:trHeight w:val="236"/>
          <w:jc w:val="center"/>
        </w:trPr>
        <w:tc>
          <w:tcPr>
            <w:tcW w:w="2756" w:type="dxa"/>
            <w:vMerge w:val="restart"/>
            <w:tcBorders>
              <w:top w:val="single" w:sz="4" w:space="0" w:color="auto"/>
              <w:left w:val="single" w:sz="4" w:space="0" w:color="auto"/>
              <w:right w:val="single" w:sz="4" w:space="0" w:color="auto"/>
            </w:tcBorders>
            <w:shd w:val="clear" w:color="auto" w:fill="auto"/>
            <w:noWrap/>
            <w:vAlign w:val="center"/>
            <w:hideMark/>
          </w:tcPr>
          <w:p w14:paraId="333B295F" w14:textId="20D8704B" w:rsidR="0086572D" w:rsidRPr="00DC4A4E" w:rsidRDefault="0086572D" w:rsidP="001F7968">
            <w:pPr>
              <w:pStyle w:val="HED-tablebody"/>
              <w:jc w:val="left"/>
              <w:rPr>
                <w:b/>
                <w:bCs/>
              </w:rPr>
            </w:pPr>
            <w:r w:rsidRPr="00DC4A4E">
              <w:rPr>
                <w:b/>
                <w:bCs/>
              </w:rPr>
              <w:t>Nominal by Nominal</w:t>
            </w:r>
          </w:p>
        </w:tc>
        <w:tc>
          <w:tcPr>
            <w:tcW w:w="1329" w:type="dxa"/>
            <w:tcBorders>
              <w:top w:val="single" w:sz="4" w:space="0" w:color="auto"/>
              <w:left w:val="single" w:sz="4" w:space="0" w:color="auto"/>
              <w:bottom w:val="single" w:sz="4" w:space="0" w:color="auto"/>
              <w:right w:val="single" w:sz="4" w:space="0" w:color="auto"/>
            </w:tcBorders>
            <w:vAlign w:val="center"/>
          </w:tcPr>
          <w:p w14:paraId="7B7E4434" w14:textId="374799DE" w:rsidR="0086572D" w:rsidRPr="00DC4A4E" w:rsidRDefault="0086572D" w:rsidP="00AA27C9">
            <w:pPr>
              <w:pStyle w:val="HED-tablebody"/>
            </w:pPr>
            <w:r w:rsidRPr="00DC4A4E">
              <w:t>Phi</w:t>
            </w:r>
          </w:p>
        </w:tc>
        <w:tc>
          <w:tcPr>
            <w:tcW w:w="872" w:type="dxa"/>
            <w:tcBorders>
              <w:left w:val="single" w:sz="4" w:space="0" w:color="auto"/>
            </w:tcBorders>
            <w:shd w:val="clear" w:color="auto" w:fill="auto"/>
            <w:noWrap/>
            <w:vAlign w:val="center"/>
          </w:tcPr>
          <w:p w14:paraId="7FAEDFD9" w14:textId="4EE6BA88" w:rsidR="0086572D" w:rsidRPr="00DC4A4E" w:rsidRDefault="0086572D" w:rsidP="00AA27C9">
            <w:pPr>
              <w:pStyle w:val="HED-tablebody"/>
              <w:jc w:val="right"/>
            </w:pPr>
            <w:r w:rsidRPr="00DC4A4E">
              <w:t>.360</w:t>
            </w:r>
          </w:p>
        </w:tc>
        <w:tc>
          <w:tcPr>
            <w:tcW w:w="1701" w:type="dxa"/>
            <w:vAlign w:val="center"/>
          </w:tcPr>
          <w:p w14:paraId="72CE8CD4" w14:textId="16B2D940" w:rsidR="0086572D" w:rsidRPr="00DC4A4E" w:rsidRDefault="0086572D" w:rsidP="00AA27C9">
            <w:pPr>
              <w:pStyle w:val="HED-tablebody"/>
              <w:jc w:val="right"/>
            </w:pPr>
          </w:p>
        </w:tc>
        <w:tc>
          <w:tcPr>
            <w:tcW w:w="992" w:type="dxa"/>
            <w:vAlign w:val="center"/>
          </w:tcPr>
          <w:p w14:paraId="78FD8ABC" w14:textId="164CADC3" w:rsidR="0086572D" w:rsidRPr="00DC4A4E" w:rsidRDefault="0086572D" w:rsidP="00AA27C9">
            <w:pPr>
              <w:pStyle w:val="HED-tablebody"/>
              <w:jc w:val="right"/>
            </w:pPr>
          </w:p>
        </w:tc>
        <w:tc>
          <w:tcPr>
            <w:tcW w:w="1297" w:type="dxa"/>
            <w:vAlign w:val="center"/>
          </w:tcPr>
          <w:p w14:paraId="24266EE9" w14:textId="3A382E0A" w:rsidR="0086572D" w:rsidRPr="00DC4A4E" w:rsidRDefault="0086572D" w:rsidP="00AA27C9">
            <w:pPr>
              <w:pStyle w:val="HED-tablebody"/>
              <w:jc w:val="right"/>
            </w:pPr>
            <w:r w:rsidRPr="00DC4A4E">
              <w:t>.000</w:t>
            </w:r>
          </w:p>
        </w:tc>
      </w:tr>
      <w:tr w:rsidR="0086572D" w:rsidRPr="00DC4A4E" w14:paraId="04661287" w14:textId="717997DD" w:rsidTr="00706422">
        <w:trPr>
          <w:trHeight w:val="236"/>
          <w:jc w:val="center"/>
        </w:trPr>
        <w:tc>
          <w:tcPr>
            <w:tcW w:w="2756" w:type="dxa"/>
            <w:vMerge/>
            <w:tcBorders>
              <w:left w:val="single" w:sz="4" w:space="0" w:color="auto"/>
              <w:right w:val="single" w:sz="4" w:space="0" w:color="auto"/>
            </w:tcBorders>
            <w:shd w:val="clear" w:color="auto" w:fill="auto"/>
            <w:noWrap/>
            <w:vAlign w:val="center"/>
          </w:tcPr>
          <w:p w14:paraId="3B454297" w14:textId="335918C0" w:rsidR="0086572D" w:rsidRPr="00DC4A4E" w:rsidRDefault="0086572D" w:rsidP="001F7968">
            <w:pPr>
              <w:pStyle w:val="HED-tablebody"/>
              <w:jc w:val="left"/>
              <w:rPr>
                <w:b/>
                <w:bCs/>
              </w:rPr>
            </w:pPr>
          </w:p>
        </w:tc>
        <w:tc>
          <w:tcPr>
            <w:tcW w:w="1329" w:type="dxa"/>
            <w:tcBorders>
              <w:top w:val="single" w:sz="4" w:space="0" w:color="auto"/>
              <w:left w:val="single" w:sz="4" w:space="0" w:color="auto"/>
              <w:bottom w:val="single" w:sz="4" w:space="0" w:color="auto"/>
              <w:right w:val="single" w:sz="4" w:space="0" w:color="auto"/>
            </w:tcBorders>
            <w:vAlign w:val="center"/>
          </w:tcPr>
          <w:p w14:paraId="72AA26F1" w14:textId="6F868375" w:rsidR="0086572D" w:rsidRPr="00DC4A4E" w:rsidRDefault="0086572D" w:rsidP="00AA27C9">
            <w:pPr>
              <w:pStyle w:val="HED-tablebody"/>
            </w:pPr>
            <w:proofErr w:type="spellStart"/>
            <w:r w:rsidRPr="00DC4A4E">
              <w:t>Cramers's</w:t>
            </w:r>
            <w:proofErr w:type="spellEnd"/>
          </w:p>
        </w:tc>
        <w:tc>
          <w:tcPr>
            <w:tcW w:w="872" w:type="dxa"/>
            <w:tcBorders>
              <w:left w:val="single" w:sz="4" w:space="0" w:color="auto"/>
            </w:tcBorders>
            <w:shd w:val="clear" w:color="auto" w:fill="auto"/>
            <w:noWrap/>
            <w:vAlign w:val="center"/>
          </w:tcPr>
          <w:p w14:paraId="6B186E9F" w14:textId="7EECB574" w:rsidR="0086572D" w:rsidRPr="00DC4A4E" w:rsidRDefault="0086572D" w:rsidP="00AA27C9">
            <w:pPr>
              <w:pStyle w:val="HED-tablebody"/>
              <w:jc w:val="right"/>
            </w:pPr>
            <w:r w:rsidRPr="00DC4A4E">
              <w:t>.255</w:t>
            </w:r>
          </w:p>
        </w:tc>
        <w:tc>
          <w:tcPr>
            <w:tcW w:w="1701" w:type="dxa"/>
            <w:vAlign w:val="center"/>
          </w:tcPr>
          <w:p w14:paraId="2358CCD0" w14:textId="08E9C5B0" w:rsidR="0086572D" w:rsidRPr="00DC4A4E" w:rsidRDefault="0086572D" w:rsidP="00AA27C9">
            <w:pPr>
              <w:pStyle w:val="HED-tablebody"/>
              <w:jc w:val="right"/>
            </w:pPr>
          </w:p>
        </w:tc>
        <w:tc>
          <w:tcPr>
            <w:tcW w:w="992" w:type="dxa"/>
            <w:vAlign w:val="center"/>
          </w:tcPr>
          <w:p w14:paraId="20B61591" w14:textId="66453AB3" w:rsidR="0086572D" w:rsidRPr="00DC4A4E" w:rsidRDefault="0086572D" w:rsidP="00AA27C9">
            <w:pPr>
              <w:pStyle w:val="HED-tablebody"/>
              <w:jc w:val="right"/>
            </w:pPr>
          </w:p>
        </w:tc>
        <w:tc>
          <w:tcPr>
            <w:tcW w:w="1297" w:type="dxa"/>
            <w:vAlign w:val="center"/>
          </w:tcPr>
          <w:p w14:paraId="60C3F477" w14:textId="128F0747" w:rsidR="0086572D" w:rsidRPr="00DC4A4E" w:rsidRDefault="0086572D" w:rsidP="00AA27C9">
            <w:pPr>
              <w:pStyle w:val="HED-tablebody"/>
              <w:jc w:val="right"/>
            </w:pPr>
            <w:r w:rsidRPr="00DC4A4E">
              <w:t>.000</w:t>
            </w:r>
          </w:p>
        </w:tc>
      </w:tr>
      <w:tr w:rsidR="0086572D" w:rsidRPr="00DC4A4E" w14:paraId="507462E6" w14:textId="58866ABF" w:rsidTr="00706422">
        <w:trPr>
          <w:trHeight w:val="236"/>
          <w:jc w:val="center"/>
        </w:trPr>
        <w:tc>
          <w:tcPr>
            <w:tcW w:w="2756" w:type="dxa"/>
            <w:vMerge/>
            <w:tcBorders>
              <w:left w:val="single" w:sz="4" w:space="0" w:color="auto"/>
              <w:bottom w:val="single" w:sz="4" w:space="0" w:color="auto"/>
              <w:right w:val="single" w:sz="4" w:space="0" w:color="auto"/>
            </w:tcBorders>
            <w:shd w:val="clear" w:color="auto" w:fill="auto"/>
            <w:noWrap/>
            <w:vAlign w:val="center"/>
          </w:tcPr>
          <w:p w14:paraId="5AE17705" w14:textId="7C1756E9" w:rsidR="0086572D" w:rsidRPr="00DC4A4E" w:rsidRDefault="0086572D" w:rsidP="001F7968">
            <w:pPr>
              <w:pStyle w:val="HED-tablebody"/>
              <w:jc w:val="left"/>
              <w:rPr>
                <w:b/>
                <w:bCs/>
              </w:rPr>
            </w:pPr>
          </w:p>
        </w:tc>
        <w:tc>
          <w:tcPr>
            <w:tcW w:w="1329" w:type="dxa"/>
            <w:tcBorders>
              <w:top w:val="single" w:sz="4" w:space="0" w:color="auto"/>
              <w:left w:val="single" w:sz="4" w:space="0" w:color="auto"/>
              <w:bottom w:val="single" w:sz="4" w:space="0" w:color="auto"/>
              <w:right w:val="single" w:sz="4" w:space="0" w:color="auto"/>
            </w:tcBorders>
            <w:vAlign w:val="center"/>
          </w:tcPr>
          <w:p w14:paraId="453A4557" w14:textId="25727757" w:rsidR="0086572D" w:rsidRPr="00DC4A4E" w:rsidRDefault="0086572D" w:rsidP="00AA27C9">
            <w:pPr>
              <w:pStyle w:val="HED-tablebody"/>
            </w:pPr>
            <w:r w:rsidRPr="00DC4A4E">
              <w:t>Contingency Coefficient</w:t>
            </w:r>
          </w:p>
        </w:tc>
        <w:tc>
          <w:tcPr>
            <w:tcW w:w="872" w:type="dxa"/>
            <w:tcBorders>
              <w:left w:val="single" w:sz="4" w:space="0" w:color="auto"/>
            </w:tcBorders>
            <w:shd w:val="clear" w:color="auto" w:fill="auto"/>
            <w:noWrap/>
            <w:vAlign w:val="center"/>
          </w:tcPr>
          <w:p w14:paraId="169FDA94" w14:textId="39E87E1A" w:rsidR="0086572D" w:rsidRPr="00DC4A4E" w:rsidRDefault="0086572D" w:rsidP="00AA27C9">
            <w:pPr>
              <w:pStyle w:val="HED-tablebody"/>
              <w:jc w:val="right"/>
            </w:pPr>
            <w:r w:rsidRPr="00DC4A4E">
              <w:t>.339</w:t>
            </w:r>
          </w:p>
        </w:tc>
        <w:tc>
          <w:tcPr>
            <w:tcW w:w="1701" w:type="dxa"/>
            <w:vAlign w:val="center"/>
          </w:tcPr>
          <w:p w14:paraId="0D91187D" w14:textId="57EEF33A" w:rsidR="0086572D" w:rsidRPr="00DC4A4E" w:rsidRDefault="0086572D" w:rsidP="00AA27C9">
            <w:pPr>
              <w:pStyle w:val="HED-tablebody"/>
              <w:jc w:val="right"/>
            </w:pPr>
          </w:p>
        </w:tc>
        <w:tc>
          <w:tcPr>
            <w:tcW w:w="992" w:type="dxa"/>
            <w:vAlign w:val="center"/>
          </w:tcPr>
          <w:p w14:paraId="12653A25" w14:textId="0B51B08E" w:rsidR="0086572D" w:rsidRPr="00DC4A4E" w:rsidRDefault="0086572D" w:rsidP="00AA27C9">
            <w:pPr>
              <w:pStyle w:val="HED-tablebody"/>
              <w:jc w:val="right"/>
            </w:pPr>
          </w:p>
        </w:tc>
        <w:tc>
          <w:tcPr>
            <w:tcW w:w="1297" w:type="dxa"/>
            <w:vAlign w:val="center"/>
          </w:tcPr>
          <w:p w14:paraId="37BA0258" w14:textId="1416F66D" w:rsidR="0086572D" w:rsidRPr="00DC4A4E" w:rsidRDefault="0086572D" w:rsidP="00AA27C9">
            <w:pPr>
              <w:pStyle w:val="HED-tablebody"/>
              <w:jc w:val="right"/>
            </w:pPr>
            <w:r w:rsidRPr="00DC4A4E">
              <w:t>.000</w:t>
            </w:r>
          </w:p>
        </w:tc>
      </w:tr>
      <w:tr w:rsidR="0086572D" w:rsidRPr="00DC4A4E" w14:paraId="36BD779C" w14:textId="75F8C574" w:rsidTr="00706422">
        <w:trPr>
          <w:trHeight w:val="236"/>
          <w:jc w:val="center"/>
        </w:trPr>
        <w:tc>
          <w:tcPr>
            <w:tcW w:w="2756" w:type="dxa"/>
            <w:tcBorders>
              <w:top w:val="single" w:sz="4" w:space="0" w:color="auto"/>
            </w:tcBorders>
            <w:shd w:val="clear" w:color="auto" w:fill="auto"/>
            <w:noWrap/>
            <w:vAlign w:val="center"/>
          </w:tcPr>
          <w:p w14:paraId="499E5C1F" w14:textId="57F9E7AD" w:rsidR="0086572D" w:rsidRPr="00DC4A4E" w:rsidRDefault="0086572D" w:rsidP="001F7968">
            <w:pPr>
              <w:pStyle w:val="HED-tablebody"/>
              <w:jc w:val="left"/>
              <w:rPr>
                <w:b/>
                <w:bCs/>
              </w:rPr>
            </w:pPr>
            <w:r w:rsidRPr="00DC4A4E">
              <w:rPr>
                <w:b/>
                <w:bCs/>
              </w:rPr>
              <w:t>Ordinal by Ordinal</w:t>
            </w:r>
          </w:p>
        </w:tc>
        <w:tc>
          <w:tcPr>
            <w:tcW w:w="1329" w:type="dxa"/>
            <w:tcBorders>
              <w:top w:val="single" w:sz="4" w:space="0" w:color="auto"/>
            </w:tcBorders>
            <w:vAlign w:val="center"/>
          </w:tcPr>
          <w:p w14:paraId="5B40E422" w14:textId="00FCE2DB" w:rsidR="0086572D" w:rsidRPr="00DC4A4E" w:rsidRDefault="0086572D" w:rsidP="00AA27C9">
            <w:pPr>
              <w:pStyle w:val="HED-tablebody"/>
            </w:pPr>
            <w:r w:rsidRPr="00DC4A4E">
              <w:t>Gamma</w:t>
            </w:r>
          </w:p>
        </w:tc>
        <w:tc>
          <w:tcPr>
            <w:tcW w:w="872" w:type="dxa"/>
            <w:shd w:val="clear" w:color="auto" w:fill="auto"/>
            <w:noWrap/>
            <w:vAlign w:val="center"/>
          </w:tcPr>
          <w:p w14:paraId="637CC225" w14:textId="06C161E2" w:rsidR="0086572D" w:rsidRPr="00DC4A4E" w:rsidRDefault="0086572D" w:rsidP="00AA27C9">
            <w:pPr>
              <w:pStyle w:val="HED-tablebody"/>
              <w:jc w:val="right"/>
            </w:pPr>
            <w:r w:rsidRPr="00DC4A4E">
              <w:t>-.060</w:t>
            </w:r>
          </w:p>
        </w:tc>
        <w:tc>
          <w:tcPr>
            <w:tcW w:w="1701" w:type="dxa"/>
            <w:vAlign w:val="center"/>
          </w:tcPr>
          <w:p w14:paraId="4430DE75" w14:textId="4536050D" w:rsidR="0086572D" w:rsidRPr="00DC4A4E" w:rsidRDefault="0086572D" w:rsidP="00AA27C9">
            <w:pPr>
              <w:pStyle w:val="HED-tablebody"/>
              <w:jc w:val="right"/>
            </w:pPr>
            <w:r w:rsidRPr="00DC4A4E">
              <w:t>.062</w:t>
            </w:r>
          </w:p>
        </w:tc>
        <w:tc>
          <w:tcPr>
            <w:tcW w:w="992" w:type="dxa"/>
            <w:vAlign w:val="center"/>
          </w:tcPr>
          <w:p w14:paraId="21D30041" w14:textId="123EE88B" w:rsidR="0086572D" w:rsidRPr="00DC4A4E" w:rsidRDefault="0086572D" w:rsidP="00AA27C9">
            <w:pPr>
              <w:pStyle w:val="HED-tablebody"/>
              <w:jc w:val="right"/>
            </w:pPr>
            <w:r w:rsidRPr="00DC4A4E">
              <w:t>-.974</w:t>
            </w:r>
          </w:p>
        </w:tc>
        <w:tc>
          <w:tcPr>
            <w:tcW w:w="1297" w:type="dxa"/>
            <w:vAlign w:val="center"/>
          </w:tcPr>
          <w:p w14:paraId="63BBEB06" w14:textId="162F1A4B" w:rsidR="0086572D" w:rsidRPr="00DC4A4E" w:rsidRDefault="0086572D" w:rsidP="00AA27C9">
            <w:pPr>
              <w:pStyle w:val="HED-tablebody"/>
              <w:jc w:val="right"/>
            </w:pPr>
            <w:r w:rsidRPr="00DC4A4E">
              <w:t>.330</w:t>
            </w:r>
          </w:p>
        </w:tc>
      </w:tr>
      <w:tr w:rsidR="0086572D" w:rsidRPr="00DC4A4E" w14:paraId="4F102C1C" w14:textId="3B3436FF" w:rsidTr="00706422">
        <w:trPr>
          <w:trHeight w:val="236"/>
          <w:jc w:val="center"/>
        </w:trPr>
        <w:tc>
          <w:tcPr>
            <w:tcW w:w="2756" w:type="dxa"/>
            <w:shd w:val="clear" w:color="auto" w:fill="auto"/>
            <w:noWrap/>
            <w:vAlign w:val="center"/>
            <w:hideMark/>
          </w:tcPr>
          <w:p w14:paraId="1C02FA02" w14:textId="77777777" w:rsidR="0086572D" w:rsidRPr="00DC4A4E" w:rsidRDefault="0086572D" w:rsidP="001F7968">
            <w:pPr>
              <w:pStyle w:val="HED-tablebody"/>
              <w:jc w:val="left"/>
              <w:rPr>
                <w:b/>
                <w:bCs/>
              </w:rPr>
            </w:pPr>
            <w:r w:rsidRPr="00DC4A4E">
              <w:rPr>
                <w:b/>
                <w:bCs/>
              </w:rPr>
              <w:t>N of Valid Cases</w:t>
            </w:r>
          </w:p>
        </w:tc>
        <w:tc>
          <w:tcPr>
            <w:tcW w:w="1329" w:type="dxa"/>
            <w:vAlign w:val="center"/>
          </w:tcPr>
          <w:p w14:paraId="27D414F9" w14:textId="77777777" w:rsidR="0086572D" w:rsidRPr="00DC4A4E" w:rsidRDefault="0086572D" w:rsidP="00AA27C9">
            <w:pPr>
              <w:pStyle w:val="HED-tablebody"/>
            </w:pPr>
          </w:p>
        </w:tc>
        <w:tc>
          <w:tcPr>
            <w:tcW w:w="872" w:type="dxa"/>
            <w:shd w:val="clear" w:color="auto" w:fill="auto"/>
            <w:noWrap/>
            <w:vAlign w:val="center"/>
            <w:hideMark/>
          </w:tcPr>
          <w:p w14:paraId="393DDA25" w14:textId="67830141" w:rsidR="0086572D" w:rsidRPr="00DC4A4E" w:rsidRDefault="0086572D" w:rsidP="00AA27C9">
            <w:pPr>
              <w:pStyle w:val="HED-tablebody"/>
              <w:jc w:val="right"/>
            </w:pPr>
            <w:r w:rsidRPr="00DC4A4E">
              <w:t>410</w:t>
            </w:r>
          </w:p>
        </w:tc>
        <w:tc>
          <w:tcPr>
            <w:tcW w:w="1701" w:type="dxa"/>
            <w:vAlign w:val="center"/>
          </w:tcPr>
          <w:p w14:paraId="14E698DB" w14:textId="77777777" w:rsidR="0086572D" w:rsidRPr="00DC4A4E" w:rsidRDefault="0086572D" w:rsidP="00AA27C9">
            <w:pPr>
              <w:pStyle w:val="HED-tablebody"/>
              <w:jc w:val="right"/>
            </w:pPr>
          </w:p>
        </w:tc>
        <w:tc>
          <w:tcPr>
            <w:tcW w:w="992" w:type="dxa"/>
            <w:vAlign w:val="center"/>
          </w:tcPr>
          <w:p w14:paraId="6D82D41C" w14:textId="77777777" w:rsidR="0086572D" w:rsidRPr="00DC4A4E" w:rsidRDefault="0086572D" w:rsidP="00AA27C9">
            <w:pPr>
              <w:pStyle w:val="HED-tablebody"/>
              <w:jc w:val="right"/>
            </w:pPr>
          </w:p>
        </w:tc>
        <w:tc>
          <w:tcPr>
            <w:tcW w:w="1297" w:type="dxa"/>
            <w:vAlign w:val="center"/>
          </w:tcPr>
          <w:p w14:paraId="5D2EAB1A" w14:textId="77777777" w:rsidR="0086572D" w:rsidRPr="00DC4A4E" w:rsidRDefault="0086572D" w:rsidP="00AA27C9">
            <w:pPr>
              <w:pStyle w:val="HED-tablebody"/>
              <w:jc w:val="right"/>
            </w:pPr>
          </w:p>
        </w:tc>
      </w:tr>
    </w:tbl>
    <w:p w14:paraId="3A79046A" w14:textId="77777777" w:rsidR="0086572D" w:rsidRPr="00DC4A4E" w:rsidRDefault="0086572D" w:rsidP="00037D2A">
      <w:pPr>
        <w:pStyle w:val="HED-text"/>
      </w:pPr>
    </w:p>
    <w:p w14:paraId="12EECC28" w14:textId="5F281574" w:rsidR="00F91CB7" w:rsidRPr="00037D2A" w:rsidRDefault="00706422" w:rsidP="00037D2A">
      <w:pPr>
        <w:pStyle w:val="HED-text"/>
      </w:pPr>
      <w:r w:rsidRPr="00037D2A">
        <w:t>The opposite of our hypothesis was confirmed, the representatives of younger generation purchase frequently not only receive gifts from the club’s shop. The representatives of the older generation received gifts more frequently than purchased.</w:t>
      </w:r>
    </w:p>
    <w:p w14:paraId="7195B146" w14:textId="77777777" w:rsidR="00706422" w:rsidRPr="00DC4A4E" w:rsidRDefault="00706422" w:rsidP="00706422">
      <w:pPr>
        <w:pStyle w:val="HED-heading1"/>
      </w:pPr>
      <w:r w:rsidRPr="00DC4A4E">
        <w:t>4. Discussion</w:t>
      </w:r>
    </w:p>
    <w:p w14:paraId="225EC8C8" w14:textId="2F9EA92C" w:rsidR="00706422" w:rsidRPr="00DC4A4E" w:rsidRDefault="00706422" w:rsidP="00706422">
      <w:pPr>
        <w:pStyle w:val="HED-text"/>
      </w:pPr>
      <w:r w:rsidRPr="00DC4A4E">
        <w:t xml:space="preserve">The examination of sport consumer habits is basically formed by examination of consumer habits and mapping the factors influencing the consumer behavior. In exploring the factors influencing consumer behavior, many scientists </w:t>
      </w:r>
      <w:r w:rsidR="00085739" w:rsidRPr="00DC4A4E">
        <w:t>(</w:t>
      </w:r>
      <w:proofErr w:type="spellStart"/>
      <w:r w:rsidR="00085739" w:rsidRPr="00DC4A4E">
        <w:t>Biscaia</w:t>
      </w:r>
      <w:proofErr w:type="spellEnd"/>
      <w:r w:rsidR="00085739" w:rsidRPr="00DC4A4E">
        <w:t xml:space="preserve"> et al., 2012; Sudbury-Riley et al., 2014; </w:t>
      </w:r>
      <w:proofErr w:type="spellStart"/>
      <w:r w:rsidR="00085739" w:rsidRPr="00DC4A4E">
        <w:t>Çevik</w:t>
      </w:r>
      <w:proofErr w:type="spellEnd"/>
      <w:r w:rsidR="00085739" w:rsidRPr="00DC4A4E">
        <w:t xml:space="preserve">, 2020; </w:t>
      </w:r>
      <w:proofErr w:type="spellStart"/>
      <w:r w:rsidR="00085739" w:rsidRPr="00DC4A4E">
        <w:t>Baša</w:t>
      </w:r>
      <w:proofErr w:type="spellEnd"/>
      <w:r w:rsidR="00085739" w:rsidRPr="00DC4A4E">
        <w:t xml:space="preserve"> &amp; </w:t>
      </w:r>
      <w:proofErr w:type="spellStart"/>
      <w:r w:rsidR="00085739" w:rsidRPr="00DC4A4E">
        <w:t>Sánta</w:t>
      </w:r>
      <w:proofErr w:type="spellEnd"/>
      <w:r w:rsidR="00085739" w:rsidRPr="00DC4A4E">
        <w:t xml:space="preserve">, 2021) </w:t>
      </w:r>
      <w:r w:rsidRPr="00DC4A4E">
        <w:t>agree that consumer behavior is fundamentally influenced by social and psychological factors. While social factors primarily focus on interpersonal relationships, respectively the power to influence the purchasing process, the most relevant psychological factors are perception, learning theories, motivation, and personality.</w:t>
      </w:r>
    </w:p>
    <w:p w14:paraId="294954BC" w14:textId="74CCD878" w:rsidR="00706422" w:rsidRPr="00DC4A4E" w:rsidRDefault="00706422" w:rsidP="00706422">
      <w:pPr>
        <w:pStyle w:val="HED-text"/>
      </w:pPr>
      <w:r w:rsidRPr="00DC4A4E">
        <w:t>As the consumer behavior is not constant, it is very difficult to define or describe. The consumers are exposed to external factors that allow them to change their decision at any time, which results in brain work for researchers and marketing specialists as well.</w:t>
      </w:r>
    </w:p>
    <w:p w14:paraId="0DEA6F0E" w14:textId="25BD1923" w:rsidR="00284872" w:rsidRPr="00DC4A4E" w:rsidRDefault="00706422" w:rsidP="004F4C27">
      <w:pPr>
        <w:pStyle w:val="HED-text"/>
      </w:pPr>
      <w:r w:rsidRPr="00DC4A4E">
        <w:t xml:space="preserve">By </w:t>
      </w:r>
      <w:r w:rsidR="008813C2" w:rsidRPr="00DC4A4E">
        <w:t>analyzing</w:t>
      </w:r>
      <w:r w:rsidRPr="00DC4A4E">
        <w:t xml:space="preserve"> the obtained data based on primary research, we wanted to know whether the younger generation of distant fans follow their football team on social media sites more frequently than the rest of the fans; and whether the representatives of younger generation received fan souvenirs more frequently than they gave. </w:t>
      </w:r>
      <w:r w:rsidR="004F4C27" w:rsidRPr="00DC4A4E">
        <w:t xml:space="preserve">According to the </w:t>
      </w:r>
      <w:r w:rsidR="00A347FD" w:rsidRPr="00DC4A4E">
        <w:t>Statista</w:t>
      </w:r>
      <w:r w:rsidR="004F4C27" w:rsidRPr="00DC4A4E">
        <w:t xml:space="preserve"> (2019) people belonging to age group 18</w:t>
      </w:r>
      <w:r w:rsidR="002A56B2">
        <w:t>–</w:t>
      </w:r>
      <w:r w:rsidR="004F4C27" w:rsidRPr="00DC4A4E">
        <w:t xml:space="preserve">35 are the most active when it comes to consuming sports </w:t>
      </w:r>
      <w:r w:rsidR="004F4C27" w:rsidRPr="00DC4A4E">
        <w:lastRenderedPageBreak/>
        <w:t xml:space="preserve">content on social media. </w:t>
      </w:r>
      <w:r w:rsidRPr="00DC4A4E">
        <w:t xml:space="preserve">The statistical analysis </w:t>
      </w:r>
      <w:r w:rsidR="004F4C27" w:rsidRPr="00DC4A4E">
        <w:t xml:space="preserve">of our research </w:t>
      </w:r>
      <w:r w:rsidRPr="00DC4A4E">
        <w:t xml:space="preserve">shows no relationship between belonging to certain age groups and following the football team on the social media site. </w:t>
      </w:r>
      <w:r w:rsidR="004F4C27" w:rsidRPr="00DC4A4E">
        <w:t>The reason behind this difference could be that Statista (2019) dealt with “sport consumption” but not necessarily with following a sport club's</w:t>
      </w:r>
      <w:r w:rsidR="00A22A91" w:rsidRPr="00DC4A4E">
        <w:t xml:space="preserve"> fan page at social media. On the other hand, Statis</w:t>
      </w:r>
      <w:r w:rsidR="00A347FD" w:rsidRPr="00DC4A4E">
        <w:t>ta</w:t>
      </w:r>
      <w:r w:rsidR="00A22A91" w:rsidRPr="00DC4A4E">
        <w:t xml:space="preserve"> (2019) did not deal with the distance as affecting factor.</w:t>
      </w:r>
    </w:p>
    <w:p w14:paraId="5FFE5F6A" w14:textId="627A2A41" w:rsidR="00E90446" w:rsidRPr="00DC4A4E" w:rsidRDefault="00284872" w:rsidP="00284872">
      <w:pPr>
        <w:pStyle w:val="HED-text"/>
      </w:pPr>
      <w:r w:rsidRPr="00DC4A4E">
        <w:t>According to KPMG (2017) research Generation X make more transactions (18.6) than Millennials (15.6) and Baby Boomers (15.1).</w:t>
      </w:r>
      <w:r w:rsidR="002A56B2">
        <w:t xml:space="preserve"> </w:t>
      </w:r>
      <w:r w:rsidRPr="00DC4A4E">
        <w:t xml:space="preserve">On the other side Baby Boomers spend the most at one transaction (203 USD). We were assuming that this could lead older generations buying more gifts to their family members, while younger generations getting more gifts than giving away. Our analysis showed that </w:t>
      </w:r>
      <w:r w:rsidR="00706422" w:rsidRPr="00DC4A4E">
        <w:t xml:space="preserve">significant relationship was detected between being a member of a certain generation group and purchasing, resp. receiving a souvenir from the </w:t>
      </w:r>
      <w:r w:rsidRPr="00DC4A4E">
        <w:t>gift shop of the football club – but the representatives of the older generation received gifts more frequently than purchased.</w:t>
      </w:r>
    </w:p>
    <w:p w14:paraId="59BFD248" w14:textId="6892BA35" w:rsidR="00706422" w:rsidRPr="00DC4A4E" w:rsidRDefault="00706422" w:rsidP="00706422">
      <w:pPr>
        <w:pStyle w:val="HED-text"/>
      </w:pPr>
      <w:r w:rsidRPr="00DC4A4E">
        <w:t>Based on these facts, we find it easier to get familiar with fan groups of different generations and apply targeted methods and tactics to stimulate consumption.</w:t>
      </w:r>
    </w:p>
    <w:p w14:paraId="2F98E439" w14:textId="77777777" w:rsidR="00706422" w:rsidRPr="00DC4A4E" w:rsidRDefault="00706422" w:rsidP="00706422">
      <w:pPr>
        <w:pStyle w:val="HED-heading1"/>
      </w:pPr>
      <w:r w:rsidRPr="00DC4A4E">
        <w:t>5. Conclusions</w:t>
      </w:r>
    </w:p>
    <w:p w14:paraId="6B1F906E" w14:textId="77777777" w:rsidR="00706422" w:rsidRPr="00DC4A4E" w:rsidRDefault="00706422" w:rsidP="00706422">
      <w:pPr>
        <w:pStyle w:val="HED-text"/>
      </w:pPr>
      <w:r w:rsidRPr="00DC4A4E">
        <w:t>The obtained research results can contribute to improve the marketing activity of football clubs. The following suggestions are related to our research:</w:t>
      </w:r>
    </w:p>
    <w:p w14:paraId="34F4B756" w14:textId="77777777" w:rsidR="00706422" w:rsidRPr="00DC4A4E" w:rsidRDefault="00706422" w:rsidP="00706422">
      <w:pPr>
        <w:pStyle w:val="HED-text"/>
      </w:pPr>
      <w:r w:rsidRPr="00DC4A4E">
        <w:t xml:space="preserve">As fans of different age groups are active in following the social media sites of the football club, the content appearing on the site should target both the younger and older generation. The information provided to fans should be exciting, easily understood e.g., the communication of events, adverts, and sponsorship should be designed to reach a wider scope of audience. </w:t>
      </w:r>
    </w:p>
    <w:p w14:paraId="17783A46" w14:textId="2B2A1CF5" w:rsidR="00706422" w:rsidRPr="00DC4A4E" w:rsidRDefault="00706422" w:rsidP="00706422">
      <w:pPr>
        <w:pStyle w:val="HED-text"/>
      </w:pPr>
      <w:r w:rsidRPr="00DC4A4E">
        <w:t>As the representatives of the younger generation purchase fan souvenirs more frequently and not only receive them from the souvenir or web shop of the club, it is important to design a shop to target the needs of the younger customers, as well as active presence in social media is advised. The management cannot forget about the fans representing the older generation, so it is essential to find those communication channels that can be used to address these fans directly and motivate them for purchase. Identification of consumers representing different generations is essential, as it plays a key role in determining the appropriate marketing strategy, which can help the fans to develop strong commitment to be interested in the examined Slovak football club.</w:t>
      </w:r>
    </w:p>
    <w:p w14:paraId="6CE0B507" w14:textId="492158A7" w:rsidR="00226150" w:rsidRDefault="00226150" w:rsidP="00226150">
      <w:pPr>
        <w:pStyle w:val="HED-acknowledgments"/>
      </w:pPr>
      <w:r w:rsidRPr="00DC4A4E">
        <w:rPr>
          <w:b/>
        </w:rPr>
        <w:t>Acknowledgments:</w:t>
      </w:r>
      <w:r w:rsidRPr="00DC4A4E">
        <w:t xml:space="preserve"> This publication was funded by the Pallas </w:t>
      </w:r>
      <w:proofErr w:type="spellStart"/>
      <w:r w:rsidRPr="00DC4A4E">
        <w:t>Athéné</w:t>
      </w:r>
      <w:proofErr w:type="spellEnd"/>
      <w:r w:rsidRPr="00DC4A4E">
        <w:t xml:space="preserve"> Foundations (PADE 138/2019-4).</w:t>
      </w:r>
    </w:p>
    <w:p w14:paraId="1F52EB9E" w14:textId="2389E5EE" w:rsidR="00433A51" w:rsidRPr="00DC4A4E" w:rsidRDefault="00433A51" w:rsidP="00226150">
      <w:pPr>
        <w:pStyle w:val="HED-acknowledgments"/>
      </w:pPr>
      <w:r w:rsidRPr="005359B4">
        <w:rPr>
          <w:b/>
        </w:rPr>
        <w:t>Conflict of interest:</w:t>
      </w:r>
      <w:r w:rsidRPr="005359B4">
        <w:t xml:space="preserve"> none</w:t>
      </w:r>
    </w:p>
    <w:p w14:paraId="4DBDC420" w14:textId="4A2B2B0F" w:rsidR="00706422" w:rsidRPr="00DC4A4E" w:rsidRDefault="00706422" w:rsidP="00706422">
      <w:pPr>
        <w:pStyle w:val="HED-heading1"/>
        <w:rPr>
          <w:color w:val="auto"/>
        </w:rPr>
      </w:pPr>
      <w:r w:rsidRPr="00DC4A4E">
        <w:rPr>
          <w:color w:val="auto"/>
        </w:rPr>
        <w:t>References</w:t>
      </w:r>
    </w:p>
    <w:p w14:paraId="622018F6" w14:textId="17543366" w:rsidR="0068652B" w:rsidRPr="00DC4A4E" w:rsidRDefault="0068652B" w:rsidP="008B06BF">
      <w:pPr>
        <w:pStyle w:val="HED-References"/>
        <w:jc w:val="both"/>
        <w:rPr>
          <w:color w:val="auto"/>
        </w:rPr>
      </w:pPr>
      <w:bookmarkStart w:id="1" w:name="OLE_LINK3"/>
      <w:proofErr w:type="spellStart"/>
      <w:r w:rsidRPr="00DC4A4E">
        <w:rPr>
          <w:color w:val="auto"/>
        </w:rPr>
        <w:t>Baša</w:t>
      </w:r>
      <w:proofErr w:type="spellEnd"/>
      <w:r w:rsidRPr="00DC4A4E">
        <w:rPr>
          <w:color w:val="auto"/>
        </w:rPr>
        <w:t xml:space="preserve">, P., &amp; </w:t>
      </w:r>
      <w:proofErr w:type="spellStart"/>
      <w:r w:rsidRPr="00DC4A4E">
        <w:rPr>
          <w:color w:val="auto"/>
        </w:rPr>
        <w:t>Sánta</w:t>
      </w:r>
      <w:proofErr w:type="spellEnd"/>
      <w:r w:rsidRPr="00DC4A4E">
        <w:rPr>
          <w:color w:val="auto"/>
        </w:rPr>
        <w:t xml:space="preserve">, K. (2021). </w:t>
      </w:r>
      <w:proofErr w:type="spellStart"/>
      <w:r w:rsidRPr="00DC4A4E">
        <w:rPr>
          <w:color w:val="auto"/>
        </w:rPr>
        <w:t>Nemzetközi</w:t>
      </w:r>
      <w:proofErr w:type="spellEnd"/>
      <w:r w:rsidRPr="00DC4A4E">
        <w:rPr>
          <w:color w:val="auto"/>
        </w:rPr>
        <w:t xml:space="preserve"> </w:t>
      </w:r>
      <w:proofErr w:type="spellStart"/>
      <w:r w:rsidRPr="00DC4A4E">
        <w:rPr>
          <w:color w:val="auto"/>
        </w:rPr>
        <w:t>összehasonlítás</w:t>
      </w:r>
      <w:proofErr w:type="spellEnd"/>
      <w:r w:rsidRPr="00DC4A4E">
        <w:rPr>
          <w:color w:val="auto"/>
        </w:rPr>
        <w:t xml:space="preserve"> </w:t>
      </w:r>
      <w:proofErr w:type="spellStart"/>
      <w:r w:rsidRPr="00DC4A4E">
        <w:rPr>
          <w:color w:val="auto"/>
        </w:rPr>
        <w:t>az</w:t>
      </w:r>
      <w:proofErr w:type="spellEnd"/>
      <w:r w:rsidRPr="00DC4A4E">
        <w:rPr>
          <w:color w:val="auto"/>
        </w:rPr>
        <w:t xml:space="preserve"> Instagram </w:t>
      </w:r>
      <w:proofErr w:type="spellStart"/>
      <w:r w:rsidRPr="00DC4A4E">
        <w:rPr>
          <w:color w:val="auto"/>
        </w:rPr>
        <w:t>üzleti</w:t>
      </w:r>
      <w:proofErr w:type="spellEnd"/>
      <w:r w:rsidRPr="00DC4A4E">
        <w:rPr>
          <w:color w:val="auto"/>
        </w:rPr>
        <w:t xml:space="preserve"> </w:t>
      </w:r>
      <w:proofErr w:type="spellStart"/>
      <w:r w:rsidRPr="00DC4A4E">
        <w:rPr>
          <w:color w:val="auto"/>
        </w:rPr>
        <w:t>profiljainak</w:t>
      </w:r>
      <w:proofErr w:type="spellEnd"/>
      <w:r w:rsidRPr="00DC4A4E">
        <w:rPr>
          <w:color w:val="auto"/>
        </w:rPr>
        <w:t xml:space="preserve"> </w:t>
      </w:r>
      <w:proofErr w:type="spellStart"/>
      <w:r w:rsidRPr="00DC4A4E">
        <w:rPr>
          <w:color w:val="auto"/>
        </w:rPr>
        <w:t>felhasználói</w:t>
      </w:r>
      <w:proofErr w:type="spellEnd"/>
      <w:r w:rsidRPr="00DC4A4E">
        <w:rPr>
          <w:color w:val="auto"/>
        </w:rPr>
        <w:t xml:space="preserve"> </w:t>
      </w:r>
      <w:proofErr w:type="spellStart"/>
      <w:r w:rsidRPr="00DC4A4E">
        <w:rPr>
          <w:color w:val="auto"/>
        </w:rPr>
        <w:t>megítéléséről</w:t>
      </w:r>
      <w:proofErr w:type="spellEnd"/>
      <w:r w:rsidRPr="00DC4A4E">
        <w:rPr>
          <w:color w:val="auto"/>
        </w:rPr>
        <w:t xml:space="preserve">. In </w:t>
      </w:r>
      <w:proofErr w:type="spellStart"/>
      <w:r w:rsidRPr="00DC4A4E">
        <w:rPr>
          <w:color w:val="auto"/>
        </w:rPr>
        <w:t>Czeglédy</w:t>
      </w:r>
      <w:proofErr w:type="spellEnd"/>
      <w:r w:rsidRPr="00DC4A4E">
        <w:rPr>
          <w:color w:val="auto"/>
        </w:rPr>
        <w:t xml:space="preserve">, T., </w:t>
      </w:r>
      <w:proofErr w:type="spellStart"/>
      <w:r w:rsidRPr="00DC4A4E">
        <w:rPr>
          <w:color w:val="auto"/>
        </w:rPr>
        <w:t>Hoschek</w:t>
      </w:r>
      <w:proofErr w:type="spellEnd"/>
      <w:r w:rsidRPr="00DC4A4E">
        <w:rPr>
          <w:color w:val="auto"/>
        </w:rPr>
        <w:t xml:space="preserve">, M., &amp; </w:t>
      </w:r>
      <w:proofErr w:type="spellStart"/>
      <w:r w:rsidRPr="00DC4A4E">
        <w:rPr>
          <w:color w:val="auto"/>
        </w:rPr>
        <w:t>Koloszár</w:t>
      </w:r>
      <w:proofErr w:type="spellEnd"/>
      <w:r w:rsidRPr="00DC4A4E">
        <w:rPr>
          <w:color w:val="auto"/>
        </w:rPr>
        <w:t xml:space="preserve">, L. (Eds.), </w:t>
      </w:r>
      <w:r w:rsidRPr="00DC4A4E">
        <w:rPr>
          <w:i/>
          <w:color w:val="auto"/>
        </w:rPr>
        <w:t xml:space="preserve">35. </w:t>
      </w:r>
      <w:proofErr w:type="spellStart"/>
      <w:r w:rsidRPr="00DC4A4E">
        <w:rPr>
          <w:i/>
          <w:color w:val="auto"/>
        </w:rPr>
        <w:t>Országos</w:t>
      </w:r>
      <w:proofErr w:type="spellEnd"/>
      <w:r w:rsidRPr="00DC4A4E">
        <w:rPr>
          <w:i/>
          <w:color w:val="auto"/>
        </w:rPr>
        <w:t xml:space="preserve"> </w:t>
      </w:r>
      <w:proofErr w:type="spellStart"/>
      <w:r w:rsidRPr="00DC4A4E">
        <w:rPr>
          <w:i/>
          <w:color w:val="auto"/>
        </w:rPr>
        <w:t>Tudományos</w:t>
      </w:r>
      <w:proofErr w:type="spellEnd"/>
      <w:r w:rsidRPr="00DC4A4E">
        <w:rPr>
          <w:i/>
          <w:color w:val="auto"/>
        </w:rPr>
        <w:t xml:space="preserve"> </w:t>
      </w:r>
      <w:proofErr w:type="spellStart"/>
      <w:r w:rsidRPr="00DC4A4E">
        <w:rPr>
          <w:i/>
          <w:color w:val="auto"/>
        </w:rPr>
        <w:t>Diákköri</w:t>
      </w:r>
      <w:proofErr w:type="spellEnd"/>
      <w:r w:rsidRPr="00DC4A4E">
        <w:rPr>
          <w:i/>
          <w:color w:val="auto"/>
        </w:rPr>
        <w:t xml:space="preserve"> </w:t>
      </w:r>
      <w:proofErr w:type="spellStart"/>
      <w:proofErr w:type="gramStart"/>
      <w:r w:rsidRPr="00DC4A4E">
        <w:rPr>
          <w:i/>
          <w:color w:val="auto"/>
        </w:rPr>
        <w:t>Konferencia</w:t>
      </w:r>
      <w:proofErr w:type="spellEnd"/>
      <w:r w:rsidRPr="00DC4A4E">
        <w:rPr>
          <w:i/>
          <w:color w:val="auto"/>
        </w:rPr>
        <w:t xml:space="preserve"> :</w:t>
      </w:r>
      <w:proofErr w:type="gramEnd"/>
      <w:r w:rsidRPr="00DC4A4E">
        <w:rPr>
          <w:i/>
          <w:color w:val="auto"/>
        </w:rPr>
        <w:t xml:space="preserve"> </w:t>
      </w:r>
      <w:proofErr w:type="spellStart"/>
      <w:r w:rsidRPr="00DC4A4E">
        <w:rPr>
          <w:i/>
          <w:color w:val="auto"/>
        </w:rPr>
        <w:t>Közgazdaságtudományi</w:t>
      </w:r>
      <w:proofErr w:type="spellEnd"/>
      <w:r w:rsidRPr="00DC4A4E">
        <w:rPr>
          <w:i/>
          <w:color w:val="auto"/>
        </w:rPr>
        <w:t xml:space="preserve"> </w:t>
      </w:r>
      <w:proofErr w:type="spellStart"/>
      <w:r w:rsidRPr="00DC4A4E">
        <w:rPr>
          <w:i/>
          <w:color w:val="auto"/>
        </w:rPr>
        <w:t>Szekció</w:t>
      </w:r>
      <w:proofErr w:type="spellEnd"/>
      <w:r w:rsidRPr="00DC4A4E">
        <w:rPr>
          <w:color w:val="auto"/>
        </w:rPr>
        <w:t xml:space="preserve"> (p. 294). </w:t>
      </w:r>
      <w:proofErr w:type="spellStart"/>
      <w:r w:rsidRPr="00DC4A4E">
        <w:rPr>
          <w:color w:val="auto"/>
        </w:rPr>
        <w:t>Soproni</w:t>
      </w:r>
      <w:proofErr w:type="spellEnd"/>
      <w:r w:rsidRPr="00DC4A4E">
        <w:rPr>
          <w:color w:val="auto"/>
        </w:rPr>
        <w:t xml:space="preserve"> </w:t>
      </w:r>
      <w:proofErr w:type="spellStart"/>
      <w:r w:rsidRPr="00DC4A4E">
        <w:rPr>
          <w:color w:val="auto"/>
        </w:rPr>
        <w:t>Egyetem</w:t>
      </w:r>
      <w:proofErr w:type="spellEnd"/>
      <w:r w:rsidR="009E71DD">
        <w:rPr>
          <w:color w:val="auto"/>
        </w:rPr>
        <w:t>.</w:t>
      </w:r>
    </w:p>
    <w:p w14:paraId="3B53EF95" w14:textId="2268CD0E" w:rsidR="002169C2" w:rsidRPr="00DC4A4E" w:rsidRDefault="002169C2" w:rsidP="008B06BF">
      <w:pPr>
        <w:pStyle w:val="HED-References"/>
        <w:jc w:val="both"/>
        <w:rPr>
          <w:color w:val="auto"/>
        </w:rPr>
      </w:pPr>
      <w:proofErr w:type="spellStart"/>
      <w:r w:rsidRPr="00DC4A4E">
        <w:rPr>
          <w:color w:val="auto"/>
        </w:rPr>
        <w:t>Berkup</w:t>
      </w:r>
      <w:proofErr w:type="spellEnd"/>
      <w:r w:rsidRPr="00DC4A4E">
        <w:rPr>
          <w:color w:val="auto"/>
        </w:rPr>
        <w:t xml:space="preserve">, S. (2014). Working with generations X any Y in generation Z period: Management of different generations in business life. </w:t>
      </w:r>
      <w:r w:rsidRPr="00DC4A4E">
        <w:rPr>
          <w:i/>
          <w:color w:val="auto"/>
        </w:rPr>
        <w:t>Mediterranean Journal of Social Sciences</w:t>
      </w:r>
      <w:r w:rsidRPr="00DC4A4E">
        <w:rPr>
          <w:color w:val="auto"/>
        </w:rPr>
        <w:t xml:space="preserve">, </w:t>
      </w:r>
      <w:r w:rsidRPr="00DC4A4E">
        <w:rPr>
          <w:i/>
          <w:color w:val="auto"/>
        </w:rPr>
        <w:t>5</w:t>
      </w:r>
      <w:r w:rsidRPr="00DC4A4E">
        <w:rPr>
          <w:color w:val="auto"/>
        </w:rPr>
        <w:t xml:space="preserve">(19), 218-229. </w:t>
      </w:r>
      <w:hyperlink r:id="rId19" w:history="1">
        <w:r w:rsidRPr="00DC4A4E">
          <w:rPr>
            <w:rStyle w:val="Hypertextovodkaz"/>
            <w:color w:val="auto"/>
            <w:u w:val="none"/>
          </w:rPr>
          <w:t>https://doi.org/10.5901/mjss.2014.v5n19p218</w:t>
        </w:r>
      </w:hyperlink>
    </w:p>
    <w:p w14:paraId="5338AF59" w14:textId="77777777" w:rsidR="002169C2" w:rsidRPr="00DC4A4E" w:rsidRDefault="002169C2" w:rsidP="008B06BF">
      <w:pPr>
        <w:pStyle w:val="HED-References"/>
        <w:jc w:val="both"/>
        <w:rPr>
          <w:color w:val="auto"/>
        </w:rPr>
      </w:pPr>
      <w:r w:rsidRPr="00DC4A4E">
        <w:rPr>
          <w:color w:val="auto"/>
        </w:rPr>
        <w:lastRenderedPageBreak/>
        <w:t>Benda-</w:t>
      </w:r>
      <w:proofErr w:type="spellStart"/>
      <w:r w:rsidRPr="00DC4A4E">
        <w:rPr>
          <w:color w:val="auto"/>
        </w:rPr>
        <w:t>Prokeinová</w:t>
      </w:r>
      <w:proofErr w:type="spellEnd"/>
      <w:r w:rsidRPr="00DC4A4E">
        <w:rPr>
          <w:color w:val="auto"/>
        </w:rPr>
        <w:t xml:space="preserve">, R., </w:t>
      </w:r>
      <w:proofErr w:type="spellStart"/>
      <w:r w:rsidRPr="00DC4A4E">
        <w:rPr>
          <w:color w:val="auto"/>
        </w:rPr>
        <w:t>Dobeš</w:t>
      </w:r>
      <w:proofErr w:type="spellEnd"/>
      <w:r w:rsidRPr="00DC4A4E">
        <w:rPr>
          <w:color w:val="auto"/>
        </w:rPr>
        <w:t xml:space="preserve">, K., Mura, L., &amp; </w:t>
      </w:r>
      <w:proofErr w:type="spellStart"/>
      <w:r w:rsidRPr="00DC4A4E">
        <w:rPr>
          <w:color w:val="auto"/>
        </w:rPr>
        <w:t>Buleca</w:t>
      </w:r>
      <w:proofErr w:type="spellEnd"/>
      <w:r w:rsidRPr="00DC4A4E">
        <w:rPr>
          <w:color w:val="auto"/>
        </w:rPr>
        <w:t xml:space="preserve">, J. (2017). Engel’s approach as a tool for estimating consumer </w:t>
      </w:r>
      <w:proofErr w:type="spellStart"/>
      <w:r w:rsidRPr="00DC4A4E">
        <w:rPr>
          <w:color w:val="auto"/>
        </w:rPr>
        <w:t>behaviour</w:t>
      </w:r>
      <w:proofErr w:type="spellEnd"/>
      <w:r w:rsidRPr="00DC4A4E">
        <w:rPr>
          <w:color w:val="auto"/>
        </w:rPr>
        <w:t xml:space="preserve">. </w:t>
      </w:r>
      <w:r w:rsidRPr="00DC4A4E">
        <w:rPr>
          <w:i/>
          <w:color w:val="auto"/>
        </w:rPr>
        <w:t xml:space="preserve">E a M: </w:t>
      </w:r>
      <w:proofErr w:type="spellStart"/>
      <w:r w:rsidRPr="00DC4A4E">
        <w:rPr>
          <w:i/>
          <w:color w:val="auto"/>
        </w:rPr>
        <w:t>Ekonomie</w:t>
      </w:r>
      <w:proofErr w:type="spellEnd"/>
      <w:r w:rsidRPr="00DC4A4E">
        <w:rPr>
          <w:i/>
          <w:color w:val="auto"/>
        </w:rPr>
        <w:t xml:space="preserve"> a Management</w:t>
      </w:r>
      <w:r w:rsidRPr="00DC4A4E">
        <w:rPr>
          <w:color w:val="auto"/>
        </w:rPr>
        <w:t xml:space="preserve">, </w:t>
      </w:r>
      <w:r w:rsidRPr="00DC4A4E">
        <w:rPr>
          <w:i/>
          <w:color w:val="auto"/>
        </w:rPr>
        <w:t>20</w:t>
      </w:r>
      <w:r w:rsidRPr="00DC4A4E">
        <w:rPr>
          <w:color w:val="auto"/>
        </w:rPr>
        <w:t xml:space="preserve">(2), 15-29. </w:t>
      </w:r>
      <w:hyperlink r:id="rId20" w:history="1">
        <w:r w:rsidRPr="00DC4A4E">
          <w:rPr>
            <w:rStyle w:val="Hypertextovodkaz"/>
            <w:color w:val="auto"/>
            <w:u w:val="none"/>
          </w:rPr>
          <w:t>https://doi.org/10.15240/tul/001/2017-2-002</w:t>
        </w:r>
      </w:hyperlink>
      <w:bookmarkEnd w:id="1"/>
    </w:p>
    <w:p w14:paraId="6532C402" w14:textId="708DF982" w:rsidR="00971526" w:rsidRPr="00DC4A4E" w:rsidRDefault="00971526" w:rsidP="008B06BF">
      <w:pPr>
        <w:pStyle w:val="HED-References"/>
        <w:jc w:val="both"/>
        <w:rPr>
          <w:color w:val="auto"/>
        </w:rPr>
      </w:pPr>
      <w:r w:rsidRPr="00DC4A4E">
        <w:rPr>
          <w:color w:val="auto"/>
        </w:rPr>
        <w:t>Bezuidenhout, L., Jacobs, B.</w:t>
      </w:r>
      <w:r w:rsidR="002169C2" w:rsidRPr="00DC4A4E">
        <w:rPr>
          <w:color w:val="auto"/>
        </w:rPr>
        <w:t>, &amp; Sonnenberg, N. (2016).</w:t>
      </w:r>
      <w:r w:rsidRPr="00DC4A4E">
        <w:rPr>
          <w:color w:val="auto"/>
        </w:rPr>
        <w:t xml:space="preserve"> Diagnostic cues used by female consumers to evaluate work wear assortments of major South African department stores. </w:t>
      </w:r>
      <w:r w:rsidRPr="00DC4A4E">
        <w:rPr>
          <w:i/>
          <w:color w:val="auto"/>
        </w:rPr>
        <w:t>The Retail and Marketing Review</w:t>
      </w:r>
      <w:r w:rsidRPr="00DC4A4E">
        <w:rPr>
          <w:color w:val="auto"/>
        </w:rPr>
        <w:t xml:space="preserve">, </w:t>
      </w:r>
      <w:r w:rsidRPr="00DC4A4E">
        <w:rPr>
          <w:i/>
          <w:color w:val="auto"/>
        </w:rPr>
        <w:t>12</w:t>
      </w:r>
      <w:r w:rsidR="002169C2" w:rsidRPr="00DC4A4E">
        <w:rPr>
          <w:color w:val="auto"/>
        </w:rPr>
        <w:t>(2), 28-45.</w:t>
      </w:r>
    </w:p>
    <w:p w14:paraId="67967BC2" w14:textId="4795B9D1" w:rsidR="00971526" w:rsidRPr="00DC4A4E" w:rsidRDefault="00971526" w:rsidP="008B06BF">
      <w:pPr>
        <w:pStyle w:val="HED-References"/>
        <w:jc w:val="both"/>
        <w:rPr>
          <w:rStyle w:val="Hypertextovodkaz"/>
          <w:color w:val="auto"/>
          <w:u w:val="none"/>
        </w:rPr>
      </w:pPr>
      <w:proofErr w:type="spellStart"/>
      <w:r w:rsidRPr="00DC4A4E">
        <w:rPr>
          <w:color w:val="auto"/>
        </w:rPr>
        <w:t>Biscaia</w:t>
      </w:r>
      <w:proofErr w:type="spellEnd"/>
      <w:r w:rsidRPr="00DC4A4E">
        <w:rPr>
          <w:color w:val="auto"/>
        </w:rPr>
        <w:t xml:space="preserve">, R., Correia, A., Rosado, A., </w:t>
      </w:r>
      <w:proofErr w:type="spellStart"/>
      <w:r w:rsidRPr="00DC4A4E">
        <w:rPr>
          <w:color w:val="auto"/>
        </w:rPr>
        <w:t>Maroco</w:t>
      </w:r>
      <w:proofErr w:type="spellEnd"/>
      <w:r w:rsidRPr="00DC4A4E">
        <w:rPr>
          <w:color w:val="auto"/>
        </w:rPr>
        <w:t>, J.</w:t>
      </w:r>
      <w:r w:rsidR="002169C2" w:rsidRPr="00DC4A4E">
        <w:rPr>
          <w:color w:val="auto"/>
        </w:rPr>
        <w:t>,</w:t>
      </w:r>
      <w:r w:rsidRPr="00DC4A4E">
        <w:rPr>
          <w:color w:val="auto"/>
        </w:rPr>
        <w:t xml:space="preserve"> &amp; Ross</w:t>
      </w:r>
      <w:r w:rsidR="00BF07B3" w:rsidRPr="00DC4A4E">
        <w:rPr>
          <w:color w:val="auto"/>
        </w:rPr>
        <w:t>, S. (2012).</w:t>
      </w:r>
      <w:r w:rsidRPr="00DC4A4E">
        <w:rPr>
          <w:color w:val="auto"/>
        </w:rPr>
        <w:t xml:space="preserve"> The effects of emotions on football spectators' satisfaction and </w:t>
      </w:r>
      <w:proofErr w:type="spellStart"/>
      <w:r w:rsidRPr="00DC4A4E">
        <w:rPr>
          <w:color w:val="auto"/>
        </w:rPr>
        <w:t>behavioural</w:t>
      </w:r>
      <w:proofErr w:type="spellEnd"/>
      <w:r w:rsidRPr="00DC4A4E">
        <w:rPr>
          <w:color w:val="auto"/>
        </w:rPr>
        <w:t xml:space="preserve"> intentions. </w:t>
      </w:r>
      <w:r w:rsidRPr="00DC4A4E">
        <w:rPr>
          <w:i/>
          <w:color w:val="auto"/>
        </w:rPr>
        <w:t>European Sport Management Quarterly</w:t>
      </w:r>
      <w:r w:rsidRPr="00DC4A4E">
        <w:rPr>
          <w:color w:val="auto"/>
        </w:rPr>
        <w:t xml:space="preserve">, </w:t>
      </w:r>
      <w:r w:rsidRPr="00DC4A4E">
        <w:rPr>
          <w:i/>
          <w:color w:val="auto"/>
        </w:rPr>
        <w:t>12</w:t>
      </w:r>
      <w:r w:rsidRPr="00DC4A4E">
        <w:rPr>
          <w:color w:val="auto"/>
        </w:rPr>
        <w:t xml:space="preserve">(3), 227-242. </w:t>
      </w:r>
      <w:hyperlink r:id="rId21" w:history="1">
        <w:r w:rsidR="002169C2" w:rsidRPr="00DC4A4E">
          <w:rPr>
            <w:rStyle w:val="Hypertextovodkaz"/>
            <w:color w:val="auto"/>
            <w:u w:val="none"/>
          </w:rPr>
          <w:t>https://doi.org/10.1080/16184742.2012.679949</w:t>
        </w:r>
      </w:hyperlink>
    </w:p>
    <w:p w14:paraId="41682D1C" w14:textId="1D51A55B" w:rsidR="00D212EA" w:rsidRPr="00DC4A4E" w:rsidRDefault="00D212EA" w:rsidP="008B06BF">
      <w:pPr>
        <w:pStyle w:val="HED-References"/>
        <w:jc w:val="both"/>
        <w:rPr>
          <w:color w:val="auto"/>
        </w:rPr>
      </w:pPr>
      <w:r w:rsidRPr="00DC4A4E">
        <w:rPr>
          <w:color w:val="auto"/>
        </w:rPr>
        <w:t xml:space="preserve">Bruns, L. B. (2020). The Lack of Responsibility for </w:t>
      </w:r>
      <w:proofErr w:type="spellStart"/>
      <w:r w:rsidRPr="00DC4A4E">
        <w:rPr>
          <w:color w:val="auto"/>
        </w:rPr>
        <w:t>Digitisation</w:t>
      </w:r>
      <w:proofErr w:type="spellEnd"/>
      <w:r w:rsidRPr="00DC4A4E">
        <w:rPr>
          <w:color w:val="auto"/>
        </w:rPr>
        <w:t xml:space="preserve"> in Media Companies. In </w:t>
      </w:r>
      <w:r w:rsidR="000F19D0">
        <w:rPr>
          <w:color w:val="auto"/>
        </w:rPr>
        <w:t xml:space="preserve">P. </w:t>
      </w:r>
      <w:proofErr w:type="spellStart"/>
      <w:r w:rsidRPr="00DC4A4E">
        <w:rPr>
          <w:color w:val="auto"/>
        </w:rPr>
        <w:t>Ondra</w:t>
      </w:r>
      <w:proofErr w:type="spellEnd"/>
      <w:r w:rsidRPr="00DC4A4E">
        <w:rPr>
          <w:color w:val="auto"/>
        </w:rPr>
        <w:t xml:space="preserve"> (Ed.), </w:t>
      </w:r>
      <w:r w:rsidRPr="00DC4A4E">
        <w:rPr>
          <w:i/>
          <w:color w:val="auto"/>
        </w:rPr>
        <w:t>DOKBAT 2020 - 16th International Bata Conference for Ph.D. Students and Young Researchers</w:t>
      </w:r>
      <w:r w:rsidRPr="00DC4A4E">
        <w:rPr>
          <w:color w:val="auto"/>
        </w:rPr>
        <w:t xml:space="preserve"> (pp.</w:t>
      </w:r>
      <w:r w:rsidR="00F7051D" w:rsidRPr="00DC4A4E">
        <w:rPr>
          <w:color w:val="auto"/>
        </w:rPr>
        <w:t>64-74).</w:t>
      </w:r>
      <w:r w:rsidRPr="00DC4A4E">
        <w:rPr>
          <w:color w:val="auto"/>
        </w:rPr>
        <w:t xml:space="preserve"> </w:t>
      </w:r>
      <w:proofErr w:type="spellStart"/>
      <w:r w:rsidRPr="00DC4A4E">
        <w:rPr>
          <w:color w:val="auto"/>
        </w:rPr>
        <w:t>Univerzita</w:t>
      </w:r>
      <w:proofErr w:type="spellEnd"/>
      <w:r w:rsidRPr="00DC4A4E">
        <w:rPr>
          <w:color w:val="auto"/>
        </w:rPr>
        <w:t xml:space="preserve"> </w:t>
      </w:r>
      <w:proofErr w:type="spellStart"/>
      <w:r w:rsidRPr="00DC4A4E">
        <w:rPr>
          <w:color w:val="auto"/>
        </w:rPr>
        <w:t>Tomáše</w:t>
      </w:r>
      <w:proofErr w:type="spellEnd"/>
      <w:r w:rsidRPr="00DC4A4E">
        <w:rPr>
          <w:color w:val="auto"/>
        </w:rPr>
        <w:t xml:space="preserve"> </w:t>
      </w:r>
      <w:proofErr w:type="spellStart"/>
      <w:r w:rsidRPr="00DC4A4E">
        <w:rPr>
          <w:color w:val="auto"/>
        </w:rPr>
        <w:t>Bati</w:t>
      </w:r>
      <w:proofErr w:type="spellEnd"/>
      <w:r w:rsidRPr="00DC4A4E">
        <w:rPr>
          <w:color w:val="auto"/>
        </w:rPr>
        <w:t xml:space="preserve"> </w:t>
      </w:r>
      <w:proofErr w:type="spellStart"/>
      <w:r w:rsidRPr="00DC4A4E">
        <w:rPr>
          <w:color w:val="auto"/>
        </w:rPr>
        <w:t>ve</w:t>
      </w:r>
      <w:proofErr w:type="spellEnd"/>
      <w:r w:rsidRPr="00DC4A4E">
        <w:rPr>
          <w:color w:val="auto"/>
        </w:rPr>
        <w:t xml:space="preserve"> </w:t>
      </w:r>
      <w:proofErr w:type="spellStart"/>
      <w:r w:rsidRPr="00DC4A4E">
        <w:rPr>
          <w:color w:val="auto"/>
        </w:rPr>
        <w:t>Zlíně</w:t>
      </w:r>
      <w:proofErr w:type="spellEnd"/>
      <w:r w:rsidR="000F19D0">
        <w:rPr>
          <w:color w:val="auto"/>
        </w:rPr>
        <w:t>.</w:t>
      </w:r>
    </w:p>
    <w:p w14:paraId="1316A50F" w14:textId="4644DA25" w:rsidR="00971526" w:rsidRPr="00DC4A4E" w:rsidRDefault="002169C2" w:rsidP="008B06BF">
      <w:pPr>
        <w:pStyle w:val="HED-References"/>
        <w:jc w:val="both"/>
        <w:rPr>
          <w:color w:val="auto"/>
        </w:rPr>
      </w:pPr>
      <w:proofErr w:type="spellStart"/>
      <w:r w:rsidRPr="00DC4A4E">
        <w:rPr>
          <w:color w:val="auto"/>
        </w:rPr>
        <w:t>Çevik</w:t>
      </w:r>
      <w:proofErr w:type="spellEnd"/>
      <w:r w:rsidRPr="00DC4A4E">
        <w:rPr>
          <w:color w:val="auto"/>
        </w:rPr>
        <w:t>, H. (2020).</w:t>
      </w:r>
      <w:r w:rsidR="00971526" w:rsidRPr="00DC4A4E">
        <w:rPr>
          <w:color w:val="auto"/>
        </w:rPr>
        <w:t xml:space="preserve"> The Effect of Stadium Atmosphere on the Satisfaction and Behavioral Intention of Spectators: New </w:t>
      </w:r>
      <w:proofErr w:type="spellStart"/>
      <w:r w:rsidR="00971526" w:rsidRPr="00DC4A4E">
        <w:rPr>
          <w:color w:val="auto"/>
        </w:rPr>
        <w:t>Eskişehir</w:t>
      </w:r>
      <w:proofErr w:type="spellEnd"/>
      <w:r w:rsidR="00971526" w:rsidRPr="00DC4A4E">
        <w:rPr>
          <w:color w:val="auto"/>
        </w:rPr>
        <w:t xml:space="preserve"> Stadium Case. </w:t>
      </w:r>
      <w:r w:rsidR="00971526" w:rsidRPr="00DC4A4E">
        <w:rPr>
          <w:i/>
          <w:color w:val="auto"/>
        </w:rPr>
        <w:t xml:space="preserve">Sportif </w:t>
      </w:r>
      <w:proofErr w:type="spellStart"/>
      <w:r w:rsidR="00971526" w:rsidRPr="00DC4A4E">
        <w:rPr>
          <w:i/>
          <w:color w:val="auto"/>
        </w:rPr>
        <w:t>Bakış</w:t>
      </w:r>
      <w:proofErr w:type="spellEnd"/>
      <w:r w:rsidR="00971526" w:rsidRPr="00DC4A4E">
        <w:rPr>
          <w:i/>
          <w:color w:val="auto"/>
        </w:rPr>
        <w:t xml:space="preserve">: </w:t>
      </w:r>
      <w:proofErr w:type="spellStart"/>
      <w:r w:rsidR="00971526" w:rsidRPr="00DC4A4E">
        <w:rPr>
          <w:i/>
          <w:color w:val="auto"/>
        </w:rPr>
        <w:t>Spor</w:t>
      </w:r>
      <w:proofErr w:type="spellEnd"/>
      <w:r w:rsidR="00971526" w:rsidRPr="00DC4A4E">
        <w:rPr>
          <w:i/>
          <w:color w:val="auto"/>
        </w:rPr>
        <w:t xml:space="preserve"> </w:t>
      </w:r>
      <w:proofErr w:type="spellStart"/>
      <w:r w:rsidR="00971526" w:rsidRPr="00DC4A4E">
        <w:rPr>
          <w:i/>
          <w:color w:val="auto"/>
        </w:rPr>
        <w:t>ve</w:t>
      </w:r>
      <w:proofErr w:type="spellEnd"/>
      <w:r w:rsidR="00971526" w:rsidRPr="00DC4A4E">
        <w:rPr>
          <w:i/>
          <w:color w:val="auto"/>
        </w:rPr>
        <w:t xml:space="preserve"> </w:t>
      </w:r>
      <w:proofErr w:type="spellStart"/>
      <w:r w:rsidR="00971526" w:rsidRPr="00DC4A4E">
        <w:rPr>
          <w:i/>
          <w:color w:val="auto"/>
        </w:rPr>
        <w:t>Eğitim</w:t>
      </w:r>
      <w:proofErr w:type="spellEnd"/>
      <w:r w:rsidR="00971526" w:rsidRPr="00DC4A4E">
        <w:rPr>
          <w:i/>
          <w:color w:val="auto"/>
        </w:rPr>
        <w:t xml:space="preserve"> </w:t>
      </w:r>
      <w:proofErr w:type="spellStart"/>
      <w:r w:rsidR="00971526" w:rsidRPr="00DC4A4E">
        <w:rPr>
          <w:i/>
          <w:color w:val="auto"/>
        </w:rPr>
        <w:t>Bilimleri</w:t>
      </w:r>
      <w:proofErr w:type="spellEnd"/>
      <w:r w:rsidR="00971526" w:rsidRPr="00DC4A4E">
        <w:rPr>
          <w:i/>
          <w:color w:val="auto"/>
        </w:rPr>
        <w:t xml:space="preserve"> </w:t>
      </w:r>
      <w:proofErr w:type="spellStart"/>
      <w:r w:rsidR="00971526" w:rsidRPr="00DC4A4E">
        <w:rPr>
          <w:i/>
          <w:color w:val="auto"/>
        </w:rPr>
        <w:t>Dergisi</w:t>
      </w:r>
      <w:proofErr w:type="spellEnd"/>
      <w:r w:rsidR="00971526" w:rsidRPr="00DC4A4E">
        <w:rPr>
          <w:color w:val="auto"/>
        </w:rPr>
        <w:t xml:space="preserve">, </w:t>
      </w:r>
      <w:r w:rsidR="00971526" w:rsidRPr="00DC4A4E">
        <w:rPr>
          <w:i/>
          <w:color w:val="auto"/>
        </w:rPr>
        <w:t>7</w:t>
      </w:r>
      <w:r w:rsidR="00971526" w:rsidRPr="00DC4A4E">
        <w:rPr>
          <w:color w:val="auto"/>
        </w:rPr>
        <w:t xml:space="preserve">(1), 75-92. </w:t>
      </w:r>
      <w:hyperlink r:id="rId22" w:history="1">
        <w:r w:rsidRPr="00DC4A4E">
          <w:rPr>
            <w:rStyle w:val="Hypertextovodkaz"/>
            <w:color w:val="auto"/>
            <w:u w:val="none"/>
          </w:rPr>
          <w:t>https://doi.org/0.33468/sbsebd.125</w:t>
        </w:r>
      </w:hyperlink>
    </w:p>
    <w:p w14:paraId="66C6F349" w14:textId="3B90D693" w:rsidR="00971526" w:rsidRPr="00DC4A4E" w:rsidRDefault="00971526" w:rsidP="008B06BF">
      <w:pPr>
        <w:pStyle w:val="HED-References"/>
        <w:jc w:val="both"/>
        <w:rPr>
          <w:color w:val="auto"/>
        </w:rPr>
      </w:pPr>
      <w:r w:rsidRPr="00DC4A4E">
        <w:rPr>
          <w:color w:val="auto"/>
        </w:rPr>
        <w:t>Chacko, P. S., Ramanathan, H. N.</w:t>
      </w:r>
      <w:r w:rsidR="002169C2" w:rsidRPr="00DC4A4E">
        <w:rPr>
          <w:color w:val="auto"/>
        </w:rPr>
        <w:t xml:space="preserve">, &amp; </w:t>
      </w:r>
      <w:proofErr w:type="spellStart"/>
      <w:r w:rsidR="002169C2" w:rsidRPr="00DC4A4E">
        <w:rPr>
          <w:color w:val="auto"/>
        </w:rPr>
        <w:t>Prashar</w:t>
      </w:r>
      <w:proofErr w:type="spellEnd"/>
      <w:r w:rsidR="002169C2" w:rsidRPr="00DC4A4E">
        <w:rPr>
          <w:color w:val="auto"/>
        </w:rPr>
        <w:t>, S. (2019).</w:t>
      </w:r>
      <w:r w:rsidRPr="00DC4A4E">
        <w:rPr>
          <w:color w:val="auto"/>
        </w:rPr>
        <w:t xml:space="preserve"> Desire and likeliness to buy luxury products: mapping perceptions using multi-dimensional scaling. </w:t>
      </w:r>
      <w:r w:rsidRPr="00DC4A4E">
        <w:rPr>
          <w:i/>
          <w:color w:val="auto"/>
        </w:rPr>
        <w:t xml:space="preserve">International Journal of Indian Culture </w:t>
      </w:r>
      <w:r w:rsidR="00105B26" w:rsidRPr="00DC4A4E">
        <w:rPr>
          <w:i/>
          <w:color w:val="auto"/>
        </w:rPr>
        <w:t>and</w:t>
      </w:r>
      <w:r w:rsidRPr="00DC4A4E">
        <w:rPr>
          <w:i/>
          <w:color w:val="auto"/>
        </w:rPr>
        <w:t xml:space="preserve"> Business Management</w:t>
      </w:r>
      <w:r w:rsidRPr="00DC4A4E">
        <w:rPr>
          <w:color w:val="auto"/>
        </w:rPr>
        <w:t xml:space="preserve">, </w:t>
      </w:r>
      <w:r w:rsidRPr="00DC4A4E">
        <w:rPr>
          <w:i/>
          <w:color w:val="auto"/>
        </w:rPr>
        <w:t>18</w:t>
      </w:r>
      <w:r w:rsidRPr="00DC4A4E">
        <w:rPr>
          <w:color w:val="auto"/>
        </w:rPr>
        <w:t xml:space="preserve">(2), 123-136. </w:t>
      </w:r>
      <w:hyperlink r:id="rId23" w:history="1">
        <w:r w:rsidR="002169C2" w:rsidRPr="00DC4A4E">
          <w:rPr>
            <w:rStyle w:val="Hypertextovodkaz"/>
            <w:color w:val="auto"/>
            <w:u w:val="none"/>
          </w:rPr>
          <w:t>https://doi.org/10.1504/IJICBM.2019.098001</w:t>
        </w:r>
      </w:hyperlink>
    </w:p>
    <w:p w14:paraId="068BCC54" w14:textId="77777777" w:rsidR="002169C2" w:rsidRPr="00DC4A4E" w:rsidRDefault="002169C2" w:rsidP="008B06BF">
      <w:pPr>
        <w:pStyle w:val="HED-References"/>
        <w:jc w:val="both"/>
        <w:rPr>
          <w:color w:val="auto"/>
        </w:rPr>
      </w:pPr>
      <w:proofErr w:type="spellStart"/>
      <w:r w:rsidRPr="00DC4A4E">
        <w:rPr>
          <w:color w:val="auto"/>
        </w:rPr>
        <w:t>Csapó-Horváth</w:t>
      </w:r>
      <w:proofErr w:type="spellEnd"/>
      <w:r w:rsidRPr="00DC4A4E">
        <w:rPr>
          <w:color w:val="auto"/>
        </w:rPr>
        <w:t>, A. (2021).</w:t>
      </w:r>
      <w:r w:rsidR="00971526" w:rsidRPr="00DC4A4E">
        <w:rPr>
          <w:color w:val="auto"/>
        </w:rPr>
        <w:t xml:space="preserve"> The Importance and Influence of Destination Advertising. </w:t>
      </w:r>
      <w:r w:rsidR="00971526" w:rsidRPr="00DC4A4E">
        <w:rPr>
          <w:i/>
          <w:color w:val="auto"/>
        </w:rPr>
        <w:t xml:space="preserve">European Journal </w:t>
      </w:r>
      <w:r w:rsidR="00105B26" w:rsidRPr="00DC4A4E">
        <w:rPr>
          <w:i/>
          <w:color w:val="auto"/>
        </w:rPr>
        <w:t>of</w:t>
      </w:r>
      <w:r w:rsidR="00971526" w:rsidRPr="00DC4A4E">
        <w:rPr>
          <w:i/>
          <w:color w:val="auto"/>
        </w:rPr>
        <w:t xml:space="preserve"> Sustainable Development</w:t>
      </w:r>
      <w:r w:rsidR="00971526" w:rsidRPr="00DC4A4E">
        <w:rPr>
          <w:color w:val="auto"/>
        </w:rPr>
        <w:t xml:space="preserve">, </w:t>
      </w:r>
      <w:r w:rsidR="00971526" w:rsidRPr="00DC4A4E">
        <w:rPr>
          <w:i/>
          <w:color w:val="auto"/>
        </w:rPr>
        <w:t>10</w:t>
      </w:r>
      <w:r w:rsidR="00971526" w:rsidRPr="00DC4A4E">
        <w:rPr>
          <w:color w:val="auto"/>
        </w:rPr>
        <w:t xml:space="preserve">(2), 231-240. </w:t>
      </w:r>
      <w:hyperlink r:id="rId24" w:history="1">
        <w:r w:rsidRPr="00DC4A4E">
          <w:rPr>
            <w:rStyle w:val="Hypertextovodkaz"/>
            <w:color w:val="auto"/>
            <w:u w:val="none"/>
          </w:rPr>
          <w:t>https://doi.org/10.14207/ejsd.2021.v10n2p231</w:t>
        </w:r>
      </w:hyperlink>
    </w:p>
    <w:p w14:paraId="60DBE36A" w14:textId="77777777" w:rsidR="002169C2" w:rsidRPr="00DC4A4E" w:rsidRDefault="00971526" w:rsidP="008B06BF">
      <w:pPr>
        <w:pStyle w:val="HED-References"/>
        <w:jc w:val="both"/>
        <w:rPr>
          <w:color w:val="auto"/>
        </w:rPr>
      </w:pPr>
      <w:r w:rsidRPr="00DC4A4E">
        <w:rPr>
          <w:color w:val="auto"/>
        </w:rPr>
        <w:t xml:space="preserve">Delong, M., Min, S., </w:t>
      </w:r>
      <w:proofErr w:type="spellStart"/>
      <w:r w:rsidRPr="00DC4A4E">
        <w:rPr>
          <w:color w:val="auto"/>
        </w:rPr>
        <w:t>Casto</w:t>
      </w:r>
      <w:proofErr w:type="spellEnd"/>
      <w:r w:rsidRPr="00DC4A4E">
        <w:rPr>
          <w:color w:val="auto"/>
        </w:rPr>
        <w:t xml:space="preserve">, </w:t>
      </w:r>
      <w:proofErr w:type="gramStart"/>
      <w:r w:rsidRPr="00DC4A4E">
        <w:rPr>
          <w:color w:val="auto"/>
        </w:rPr>
        <w:t>M .</w:t>
      </w:r>
      <w:proofErr w:type="gramEnd"/>
      <w:r w:rsidRPr="00DC4A4E">
        <w:rPr>
          <w:color w:val="auto"/>
        </w:rPr>
        <w:t>A.</w:t>
      </w:r>
      <w:r w:rsidR="002169C2" w:rsidRPr="00DC4A4E">
        <w:rPr>
          <w:color w:val="auto"/>
        </w:rPr>
        <w:t>, &amp; Lee, Y. K. (2017).</w:t>
      </w:r>
      <w:r w:rsidRPr="00DC4A4E">
        <w:rPr>
          <w:color w:val="auto"/>
        </w:rPr>
        <w:t xml:space="preserve"> Sustainable clothing from the older female user's perspective. </w:t>
      </w:r>
      <w:r w:rsidRPr="00DC4A4E">
        <w:rPr>
          <w:i/>
          <w:color w:val="auto"/>
        </w:rPr>
        <w:t>Clothing Cultures</w:t>
      </w:r>
      <w:r w:rsidRPr="00DC4A4E">
        <w:rPr>
          <w:color w:val="auto"/>
        </w:rPr>
        <w:t xml:space="preserve">, </w:t>
      </w:r>
      <w:r w:rsidRPr="00DC4A4E">
        <w:rPr>
          <w:i/>
          <w:color w:val="auto"/>
        </w:rPr>
        <w:t>4</w:t>
      </w:r>
      <w:r w:rsidRPr="00DC4A4E">
        <w:rPr>
          <w:color w:val="auto"/>
        </w:rPr>
        <w:t xml:space="preserve">(3), 219-234. </w:t>
      </w:r>
      <w:hyperlink r:id="rId25" w:history="1">
        <w:r w:rsidR="002169C2" w:rsidRPr="00DC4A4E">
          <w:rPr>
            <w:rStyle w:val="Hypertextovodkaz"/>
            <w:color w:val="auto"/>
            <w:u w:val="none"/>
          </w:rPr>
          <w:t>https://doi.org/10.1386/cc.4.3.219_1</w:t>
        </w:r>
      </w:hyperlink>
    </w:p>
    <w:p w14:paraId="569410F2" w14:textId="46452739" w:rsidR="00971526" w:rsidRPr="00DC4A4E" w:rsidRDefault="002169C2" w:rsidP="008B06BF">
      <w:pPr>
        <w:pStyle w:val="HED-References"/>
        <w:jc w:val="both"/>
        <w:rPr>
          <w:color w:val="auto"/>
        </w:rPr>
      </w:pPr>
      <w:proofErr w:type="spellStart"/>
      <w:r w:rsidRPr="00DC4A4E">
        <w:rPr>
          <w:color w:val="auto"/>
        </w:rPr>
        <w:t>Duffett</w:t>
      </w:r>
      <w:proofErr w:type="spellEnd"/>
      <w:r w:rsidRPr="00DC4A4E">
        <w:rPr>
          <w:color w:val="auto"/>
        </w:rPr>
        <w:t>, R. G. (2017).</w:t>
      </w:r>
      <w:r w:rsidR="00971526" w:rsidRPr="00DC4A4E">
        <w:rPr>
          <w:color w:val="auto"/>
        </w:rPr>
        <w:t xml:space="preserve"> Influence of social media marketing communications on young consumers' attitudes. </w:t>
      </w:r>
      <w:r w:rsidR="00971526" w:rsidRPr="00DC4A4E">
        <w:rPr>
          <w:i/>
          <w:color w:val="auto"/>
        </w:rPr>
        <w:t>Young Consumers</w:t>
      </w:r>
      <w:r w:rsidR="00971526" w:rsidRPr="00DC4A4E">
        <w:rPr>
          <w:color w:val="auto"/>
        </w:rPr>
        <w:t xml:space="preserve">, </w:t>
      </w:r>
      <w:r w:rsidR="00971526" w:rsidRPr="00DC4A4E">
        <w:rPr>
          <w:i/>
          <w:color w:val="auto"/>
        </w:rPr>
        <w:t>18</w:t>
      </w:r>
      <w:r w:rsidR="00971526" w:rsidRPr="00DC4A4E">
        <w:rPr>
          <w:color w:val="auto"/>
        </w:rPr>
        <w:t xml:space="preserve">(1), 19-39. </w:t>
      </w:r>
      <w:hyperlink r:id="rId26" w:history="1">
        <w:r w:rsidRPr="00DC4A4E">
          <w:rPr>
            <w:rStyle w:val="Hypertextovodkaz"/>
            <w:color w:val="auto"/>
            <w:u w:val="none"/>
          </w:rPr>
          <w:t>https://doi.org/10.1108/YC-07-2016-00622</w:t>
        </w:r>
      </w:hyperlink>
    </w:p>
    <w:p w14:paraId="01656B05" w14:textId="46955F95" w:rsidR="00971526" w:rsidRPr="00DC4A4E" w:rsidRDefault="00971526" w:rsidP="008B06BF">
      <w:pPr>
        <w:pStyle w:val="HED-References"/>
        <w:jc w:val="both"/>
        <w:rPr>
          <w:color w:val="auto"/>
        </w:rPr>
      </w:pPr>
      <w:proofErr w:type="spellStart"/>
      <w:r w:rsidRPr="00DC4A4E">
        <w:rPr>
          <w:color w:val="auto"/>
        </w:rPr>
        <w:t>Gáti</w:t>
      </w:r>
      <w:proofErr w:type="spellEnd"/>
      <w:r w:rsidRPr="00DC4A4E">
        <w:rPr>
          <w:color w:val="auto"/>
        </w:rPr>
        <w:t xml:space="preserve">, M., </w:t>
      </w:r>
      <w:proofErr w:type="spellStart"/>
      <w:r w:rsidRPr="00DC4A4E">
        <w:rPr>
          <w:color w:val="auto"/>
        </w:rPr>
        <w:t>Mitev</w:t>
      </w:r>
      <w:proofErr w:type="spellEnd"/>
      <w:r w:rsidRPr="00DC4A4E">
        <w:rPr>
          <w:color w:val="auto"/>
        </w:rPr>
        <w:t>, A.</w:t>
      </w:r>
      <w:r w:rsidR="002169C2" w:rsidRPr="00DC4A4E">
        <w:rPr>
          <w:color w:val="auto"/>
        </w:rPr>
        <w:t>, &amp; Bauer, A. (2018).</w:t>
      </w:r>
      <w:r w:rsidRPr="00DC4A4E">
        <w:rPr>
          <w:color w:val="auto"/>
        </w:rPr>
        <w:t xml:space="preserve"> Investigating </w:t>
      </w:r>
      <w:r w:rsidR="00105B26" w:rsidRPr="00DC4A4E">
        <w:rPr>
          <w:color w:val="auto"/>
        </w:rPr>
        <w:t>the</w:t>
      </w:r>
      <w:r w:rsidRPr="00DC4A4E">
        <w:rPr>
          <w:color w:val="auto"/>
        </w:rPr>
        <w:t xml:space="preserve"> Impact of Salespersons' Use of Technology </w:t>
      </w:r>
      <w:r w:rsidR="00105B26" w:rsidRPr="00DC4A4E">
        <w:rPr>
          <w:color w:val="auto"/>
        </w:rPr>
        <w:t>and</w:t>
      </w:r>
      <w:r w:rsidRPr="00DC4A4E">
        <w:rPr>
          <w:color w:val="auto"/>
        </w:rPr>
        <w:t xml:space="preserve"> Social Media on Their Customer Relationship Performance </w:t>
      </w:r>
      <w:proofErr w:type="gramStart"/>
      <w:r w:rsidRPr="00DC4A4E">
        <w:rPr>
          <w:color w:val="auto"/>
        </w:rPr>
        <w:t>In</w:t>
      </w:r>
      <w:proofErr w:type="gramEnd"/>
      <w:r w:rsidRPr="00DC4A4E">
        <w:rPr>
          <w:color w:val="auto"/>
        </w:rPr>
        <w:t xml:space="preserve"> B2b Settings. </w:t>
      </w:r>
      <w:r w:rsidRPr="00DC4A4E">
        <w:rPr>
          <w:i/>
          <w:color w:val="auto"/>
        </w:rPr>
        <w:t>Market-</w:t>
      </w:r>
      <w:proofErr w:type="spellStart"/>
      <w:r w:rsidRPr="00DC4A4E">
        <w:rPr>
          <w:i/>
          <w:color w:val="auto"/>
        </w:rPr>
        <w:t>Trziste</w:t>
      </w:r>
      <w:proofErr w:type="spellEnd"/>
      <w:r w:rsidR="000F19D0">
        <w:rPr>
          <w:color w:val="auto"/>
        </w:rPr>
        <w:t>,</w:t>
      </w:r>
      <w:r w:rsidRPr="00DC4A4E">
        <w:rPr>
          <w:color w:val="auto"/>
        </w:rPr>
        <w:t xml:space="preserve"> </w:t>
      </w:r>
      <w:r w:rsidRPr="00DC4A4E">
        <w:rPr>
          <w:i/>
          <w:color w:val="auto"/>
        </w:rPr>
        <w:t>30</w:t>
      </w:r>
      <w:r w:rsidRPr="00DC4A4E">
        <w:rPr>
          <w:color w:val="auto"/>
        </w:rPr>
        <w:t xml:space="preserve">(2), 165-176. </w:t>
      </w:r>
      <w:hyperlink r:id="rId27" w:history="1">
        <w:r w:rsidR="002169C2" w:rsidRPr="00DC4A4E">
          <w:rPr>
            <w:rStyle w:val="Hypertextovodkaz"/>
            <w:color w:val="auto"/>
            <w:u w:val="none"/>
          </w:rPr>
          <w:t>https://doi.org/10.22598/mt/2018.30.2.165</w:t>
        </w:r>
      </w:hyperlink>
    </w:p>
    <w:p w14:paraId="2AC75A76" w14:textId="6C4D270A" w:rsidR="00971526" w:rsidRPr="00DC4A4E" w:rsidRDefault="00971526" w:rsidP="008B06BF">
      <w:pPr>
        <w:pStyle w:val="HED-References"/>
        <w:jc w:val="both"/>
        <w:rPr>
          <w:color w:val="auto"/>
        </w:rPr>
      </w:pPr>
      <w:proofErr w:type="spellStart"/>
      <w:r w:rsidRPr="00DC4A4E">
        <w:rPr>
          <w:color w:val="auto"/>
        </w:rPr>
        <w:t>Gerh</w:t>
      </w:r>
      <w:r w:rsidR="002169C2" w:rsidRPr="00DC4A4E">
        <w:rPr>
          <w:color w:val="auto"/>
        </w:rPr>
        <w:t>at</w:t>
      </w:r>
      <w:proofErr w:type="spellEnd"/>
      <w:r w:rsidR="002169C2" w:rsidRPr="00DC4A4E">
        <w:rPr>
          <w:color w:val="auto"/>
        </w:rPr>
        <w:t>, R.</w:t>
      </w:r>
      <w:r w:rsidR="008B06BF" w:rsidRPr="00DC4A4E">
        <w:rPr>
          <w:color w:val="auto"/>
        </w:rPr>
        <w:t>,</w:t>
      </w:r>
      <w:r w:rsidR="002169C2" w:rsidRPr="00DC4A4E">
        <w:rPr>
          <w:color w:val="auto"/>
        </w:rPr>
        <w:t xml:space="preserve"> &amp; </w:t>
      </w:r>
      <w:proofErr w:type="spellStart"/>
      <w:r w:rsidR="002169C2" w:rsidRPr="00DC4A4E">
        <w:rPr>
          <w:color w:val="auto"/>
        </w:rPr>
        <w:t>Balázs</w:t>
      </w:r>
      <w:proofErr w:type="spellEnd"/>
      <w:r w:rsidR="002169C2" w:rsidRPr="00DC4A4E">
        <w:rPr>
          <w:color w:val="auto"/>
        </w:rPr>
        <w:t>, K. (2018).</w:t>
      </w:r>
      <w:r w:rsidR="008B06BF" w:rsidRPr="00DC4A4E">
        <w:rPr>
          <w:color w:val="auto"/>
        </w:rPr>
        <w:t xml:space="preserve"> Az </w:t>
      </w:r>
      <w:proofErr w:type="spellStart"/>
      <w:r w:rsidR="008B06BF" w:rsidRPr="00DC4A4E">
        <w:rPr>
          <w:color w:val="auto"/>
        </w:rPr>
        <w:t>Emocionális</w:t>
      </w:r>
      <w:proofErr w:type="spellEnd"/>
      <w:r w:rsidR="008B06BF" w:rsidRPr="00DC4A4E">
        <w:rPr>
          <w:color w:val="auto"/>
        </w:rPr>
        <w:t xml:space="preserve"> </w:t>
      </w:r>
      <w:proofErr w:type="spellStart"/>
      <w:r w:rsidR="008B06BF" w:rsidRPr="00DC4A4E">
        <w:rPr>
          <w:color w:val="auto"/>
        </w:rPr>
        <w:t>Tartalmú</w:t>
      </w:r>
      <w:proofErr w:type="spellEnd"/>
      <w:r w:rsidR="008B06BF" w:rsidRPr="00DC4A4E">
        <w:rPr>
          <w:color w:val="auto"/>
        </w:rPr>
        <w:t xml:space="preserve"> </w:t>
      </w:r>
      <w:proofErr w:type="spellStart"/>
      <w:r w:rsidR="008B06BF" w:rsidRPr="00DC4A4E">
        <w:rPr>
          <w:color w:val="auto"/>
        </w:rPr>
        <w:t>Társadalmi</w:t>
      </w:r>
      <w:proofErr w:type="spellEnd"/>
      <w:r w:rsidR="008B06BF" w:rsidRPr="00DC4A4E">
        <w:rPr>
          <w:color w:val="auto"/>
        </w:rPr>
        <w:t xml:space="preserve"> </w:t>
      </w:r>
      <w:proofErr w:type="spellStart"/>
      <w:r w:rsidR="008B06BF" w:rsidRPr="00DC4A4E">
        <w:rPr>
          <w:color w:val="auto"/>
        </w:rPr>
        <w:t>Célú</w:t>
      </w:r>
      <w:proofErr w:type="spellEnd"/>
      <w:r w:rsidR="008B06BF" w:rsidRPr="00DC4A4E">
        <w:rPr>
          <w:color w:val="auto"/>
        </w:rPr>
        <w:t xml:space="preserve"> </w:t>
      </w:r>
      <w:proofErr w:type="spellStart"/>
      <w:r w:rsidR="008B06BF" w:rsidRPr="00DC4A4E">
        <w:rPr>
          <w:color w:val="auto"/>
        </w:rPr>
        <w:t>Reklámvideók</w:t>
      </w:r>
      <w:proofErr w:type="spellEnd"/>
      <w:r w:rsidR="008B06BF" w:rsidRPr="00DC4A4E">
        <w:rPr>
          <w:color w:val="auto"/>
        </w:rPr>
        <w:t xml:space="preserve"> </w:t>
      </w:r>
      <w:proofErr w:type="spellStart"/>
      <w:r w:rsidR="008B06BF" w:rsidRPr="00DC4A4E">
        <w:rPr>
          <w:color w:val="auto"/>
        </w:rPr>
        <w:t>Hatásmechanizmusának</w:t>
      </w:r>
      <w:proofErr w:type="spellEnd"/>
      <w:r w:rsidR="008B06BF" w:rsidRPr="00DC4A4E">
        <w:rPr>
          <w:color w:val="auto"/>
        </w:rPr>
        <w:t xml:space="preserve"> </w:t>
      </w:r>
      <w:proofErr w:type="spellStart"/>
      <w:r w:rsidR="008B06BF" w:rsidRPr="00DC4A4E">
        <w:rPr>
          <w:color w:val="auto"/>
        </w:rPr>
        <w:t>Vizsgálata</w:t>
      </w:r>
      <w:proofErr w:type="spellEnd"/>
      <w:r w:rsidR="008B06BF" w:rsidRPr="00DC4A4E">
        <w:rPr>
          <w:color w:val="auto"/>
        </w:rPr>
        <w:t xml:space="preserve">: </w:t>
      </w:r>
      <w:proofErr w:type="spellStart"/>
      <w:r w:rsidR="008B06BF" w:rsidRPr="00DC4A4E">
        <w:rPr>
          <w:color w:val="auto"/>
        </w:rPr>
        <w:t>Félelem</w:t>
      </w:r>
      <w:proofErr w:type="spellEnd"/>
      <w:r w:rsidR="008B06BF" w:rsidRPr="00DC4A4E">
        <w:rPr>
          <w:color w:val="auto"/>
        </w:rPr>
        <w:t xml:space="preserve"> </w:t>
      </w:r>
      <w:proofErr w:type="spellStart"/>
      <w:r w:rsidR="008B06BF" w:rsidRPr="00DC4A4E">
        <w:rPr>
          <w:color w:val="auto"/>
        </w:rPr>
        <w:t>és</w:t>
      </w:r>
      <w:proofErr w:type="spellEnd"/>
      <w:r w:rsidR="008B06BF" w:rsidRPr="00DC4A4E">
        <w:rPr>
          <w:color w:val="auto"/>
        </w:rPr>
        <w:t xml:space="preserve"> Humor (</w:t>
      </w:r>
      <w:r w:rsidRPr="00DC4A4E">
        <w:rPr>
          <w:color w:val="auto"/>
        </w:rPr>
        <w:t xml:space="preserve">Impact Assessment </w:t>
      </w:r>
      <w:r w:rsidR="00105B26" w:rsidRPr="00DC4A4E">
        <w:rPr>
          <w:color w:val="auto"/>
        </w:rPr>
        <w:t>of</w:t>
      </w:r>
      <w:r w:rsidRPr="00DC4A4E">
        <w:rPr>
          <w:color w:val="auto"/>
        </w:rPr>
        <w:t xml:space="preserve"> Advertisement Videos </w:t>
      </w:r>
      <w:r w:rsidR="00105B26" w:rsidRPr="00DC4A4E">
        <w:rPr>
          <w:color w:val="auto"/>
        </w:rPr>
        <w:t>for</w:t>
      </w:r>
      <w:r w:rsidRPr="00DC4A4E">
        <w:rPr>
          <w:color w:val="auto"/>
        </w:rPr>
        <w:t xml:space="preserve"> The Social Good </w:t>
      </w:r>
      <w:r w:rsidR="00105B26" w:rsidRPr="00DC4A4E">
        <w:rPr>
          <w:color w:val="auto"/>
        </w:rPr>
        <w:t>with</w:t>
      </w:r>
      <w:r w:rsidRPr="00DC4A4E">
        <w:rPr>
          <w:color w:val="auto"/>
        </w:rPr>
        <w:t xml:space="preserve"> Different Emotional Loads: Fear </w:t>
      </w:r>
      <w:r w:rsidR="00105B26" w:rsidRPr="00DC4A4E">
        <w:rPr>
          <w:color w:val="auto"/>
        </w:rPr>
        <w:t>and</w:t>
      </w:r>
      <w:r w:rsidR="008B06BF" w:rsidRPr="00DC4A4E">
        <w:rPr>
          <w:color w:val="auto"/>
        </w:rPr>
        <w:t xml:space="preserve"> </w:t>
      </w:r>
      <w:proofErr w:type="spellStart"/>
      <w:r w:rsidR="008B06BF" w:rsidRPr="00DC4A4E">
        <w:rPr>
          <w:color w:val="auto"/>
        </w:rPr>
        <w:t>Humour</w:t>
      </w:r>
      <w:proofErr w:type="spellEnd"/>
      <w:r w:rsidR="008B06BF" w:rsidRPr="00DC4A4E">
        <w:rPr>
          <w:color w:val="auto"/>
        </w:rPr>
        <w:t>)</w:t>
      </w:r>
      <w:r w:rsidRPr="00DC4A4E">
        <w:rPr>
          <w:color w:val="auto"/>
        </w:rPr>
        <w:t xml:space="preserve">. </w:t>
      </w:r>
      <w:r w:rsidRPr="00DC4A4E">
        <w:rPr>
          <w:i/>
          <w:color w:val="auto"/>
        </w:rPr>
        <w:t xml:space="preserve">Magyar </w:t>
      </w:r>
      <w:proofErr w:type="spellStart"/>
      <w:r w:rsidRPr="00DC4A4E">
        <w:rPr>
          <w:i/>
          <w:color w:val="auto"/>
        </w:rPr>
        <w:t>Pszichológiai</w:t>
      </w:r>
      <w:proofErr w:type="spellEnd"/>
      <w:r w:rsidRPr="00DC4A4E">
        <w:rPr>
          <w:i/>
          <w:color w:val="auto"/>
        </w:rPr>
        <w:t xml:space="preserve"> </w:t>
      </w:r>
      <w:proofErr w:type="spellStart"/>
      <w:r w:rsidRPr="00DC4A4E">
        <w:rPr>
          <w:i/>
          <w:color w:val="auto"/>
        </w:rPr>
        <w:t>Szemle</w:t>
      </w:r>
      <w:proofErr w:type="spellEnd"/>
      <w:r w:rsidRPr="00DC4A4E">
        <w:rPr>
          <w:color w:val="auto"/>
        </w:rPr>
        <w:t xml:space="preserve">, </w:t>
      </w:r>
      <w:r w:rsidRPr="00DC4A4E">
        <w:rPr>
          <w:i/>
          <w:color w:val="auto"/>
        </w:rPr>
        <w:t>73</w:t>
      </w:r>
      <w:r w:rsidRPr="00DC4A4E">
        <w:rPr>
          <w:color w:val="auto"/>
        </w:rPr>
        <w:t xml:space="preserve">(2), 213–235. </w:t>
      </w:r>
      <w:hyperlink r:id="rId28" w:history="1">
        <w:r w:rsidR="008B06BF" w:rsidRPr="00DC4A4E">
          <w:rPr>
            <w:rStyle w:val="Hypertextovodkaz"/>
            <w:color w:val="auto"/>
            <w:u w:val="none"/>
          </w:rPr>
          <w:t>https://doi.org/10.1556/0016.2018.73.2.5</w:t>
        </w:r>
      </w:hyperlink>
    </w:p>
    <w:p w14:paraId="3CE62AD3" w14:textId="787A8D35" w:rsidR="00971526" w:rsidRPr="00DC4A4E" w:rsidRDefault="00971526" w:rsidP="008B06BF">
      <w:pPr>
        <w:pStyle w:val="HED-References"/>
        <w:jc w:val="both"/>
        <w:rPr>
          <w:color w:val="auto"/>
        </w:rPr>
      </w:pPr>
      <w:r w:rsidRPr="00DC4A4E">
        <w:rPr>
          <w:color w:val="auto"/>
        </w:rPr>
        <w:t>H</w:t>
      </w:r>
      <w:r w:rsidR="008B06BF" w:rsidRPr="00DC4A4E">
        <w:rPr>
          <w:color w:val="auto"/>
        </w:rPr>
        <w:t>assim, J. Z., &amp; Zahid, A. (2017).</w:t>
      </w:r>
      <w:r w:rsidRPr="00DC4A4E">
        <w:rPr>
          <w:color w:val="auto"/>
        </w:rPr>
        <w:t xml:space="preserve"> The employment rights and legal protection for professional footballers in Malaysian </w:t>
      </w:r>
      <w:proofErr w:type="spellStart"/>
      <w:r w:rsidRPr="00DC4A4E">
        <w:rPr>
          <w:color w:val="auto"/>
        </w:rPr>
        <w:t>labour</w:t>
      </w:r>
      <w:proofErr w:type="spellEnd"/>
      <w:r w:rsidRPr="00DC4A4E">
        <w:rPr>
          <w:color w:val="auto"/>
        </w:rPr>
        <w:t xml:space="preserve"> market. </w:t>
      </w:r>
      <w:r w:rsidRPr="00DC4A4E">
        <w:rPr>
          <w:i/>
          <w:color w:val="auto"/>
        </w:rPr>
        <w:t>International Journal of Business and Society</w:t>
      </w:r>
      <w:r w:rsidRPr="00DC4A4E">
        <w:rPr>
          <w:color w:val="auto"/>
        </w:rPr>
        <w:t xml:space="preserve">, </w:t>
      </w:r>
      <w:r w:rsidRPr="00DC4A4E">
        <w:rPr>
          <w:i/>
          <w:color w:val="auto"/>
        </w:rPr>
        <w:t>18</w:t>
      </w:r>
      <w:r w:rsidRPr="00DC4A4E">
        <w:rPr>
          <w:color w:val="auto"/>
        </w:rPr>
        <w:t xml:space="preserve">(2), 397-407. </w:t>
      </w:r>
      <w:hyperlink r:id="rId29" w:history="1">
        <w:r w:rsidR="008B06BF" w:rsidRPr="00DC4A4E">
          <w:rPr>
            <w:rStyle w:val="Hypertextovodkaz"/>
            <w:color w:val="auto"/>
            <w:u w:val="none"/>
          </w:rPr>
          <w:t>https://doi.org/10.33736/ijbs.548.2017</w:t>
        </w:r>
      </w:hyperlink>
    </w:p>
    <w:p w14:paraId="6505AA58" w14:textId="3EB08EAB" w:rsidR="00971526" w:rsidRPr="00DC4A4E" w:rsidRDefault="00971526" w:rsidP="008B06BF">
      <w:pPr>
        <w:pStyle w:val="HED-References"/>
        <w:jc w:val="both"/>
        <w:rPr>
          <w:color w:val="auto"/>
        </w:rPr>
      </w:pPr>
      <w:proofErr w:type="spellStart"/>
      <w:r w:rsidRPr="00DC4A4E">
        <w:rPr>
          <w:color w:val="auto"/>
        </w:rPr>
        <w:t>Kituk</w:t>
      </w:r>
      <w:r w:rsidR="008B06BF" w:rsidRPr="00DC4A4E">
        <w:rPr>
          <w:color w:val="auto"/>
        </w:rPr>
        <w:t>utha</w:t>
      </w:r>
      <w:proofErr w:type="spellEnd"/>
      <w:r w:rsidR="008B06BF" w:rsidRPr="00DC4A4E">
        <w:rPr>
          <w:color w:val="auto"/>
        </w:rPr>
        <w:t xml:space="preserve">, N., &amp; </w:t>
      </w:r>
      <w:proofErr w:type="spellStart"/>
      <w:r w:rsidR="008B06BF" w:rsidRPr="00DC4A4E">
        <w:rPr>
          <w:color w:val="auto"/>
        </w:rPr>
        <w:t>Widyatama</w:t>
      </w:r>
      <w:proofErr w:type="spellEnd"/>
      <w:r w:rsidR="008B06BF" w:rsidRPr="00DC4A4E">
        <w:rPr>
          <w:color w:val="auto"/>
        </w:rPr>
        <w:t>, R. (2020).</w:t>
      </w:r>
      <w:r w:rsidRPr="00DC4A4E">
        <w:rPr>
          <w:color w:val="auto"/>
        </w:rPr>
        <w:t xml:space="preserve"> Impact of Tv Media on E-Commerce Growth and Performance in Developing. </w:t>
      </w:r>
      <w:r w:rsidRPr="00DC4A4E">
        <w:rPr>
          <w:i/>
          <w:color w:val="auto"/>
        </w:rPr>
        <w:t>Selye e-studies</w:t>
      </w:r>
      <w:r w:rsidRPr="00DC4A4E">
        <w:rPr>
          <w:color w:val="auto"/>
        </w:rPr>
        <w:t xml:space="preserve">, </w:t>
      </w:r>
      <w:r w:rsidRPr="00DC4A4E">
        <w:rPr>
          <w:i/>
          <w:color w:val="auto"/>
        </w:rPr>
        <w:t>11</w:t>
      </w:r>
      <w:r w:rsidRPr="00DC4A4E">
        <w:rPr>
          <w:color w:val="auto"/>
        </w:rPr>
        <w:t>(1), pp. 42-55.</w:t>
      </w:r>
    </w:p>
    <w:p w14:paraId="590BB95C" w14:textId="6CD169B3" w:rsidR="00907DF4" w:rsidRPr="00DC4A4E" w:rsidRDefault="00907DF4" w:rsidP="00611E87">
      <w:pPr>
        <w:pStyle w:val="HED-References"/>
        <w:jc w:val="both"/>
        <w:rPr>
          <w:color w:val="auto"/>
        </w:rPr>
      </w:pPr>
      <w:r w:rsidRPr="00DC4A4E">
        <w:rPr>
          <w:color w:val="auto"/>
        </w:rPr>
        <w:t xml:space="preserve">KPMG. (2017). </w:t>
      </w:r>
      <w:r w:rsidRPr="00DC4A4E">
        <w:rPr>
          <w:i/>
          <w:color w:val="auto"/>
        </w:rPr>
        <w:t>The truth about online consumers. 2017 Global Online Consumer Report</w:t>
      </w:r>
      <w:r w:rsidRPr="00DC4A4E">
        <w:rPr>
          <w:color w:val="auto"/>
        </w:rPr>
        <w:t xml:space="preserve"> (Publication number: 201701TW-G). KPMG. </w:t>
      </w:r>
      <w:hyperlink r:id="rId30" w:history="1">
        <w:r w:rsidRPr="00DC4A4E">
          <w:rPr>
            <w:rStyle w:val="Hypertextovodkaz"/>
            <w:color w:val="auto"/>
            <w:u w:val="none"/>
          </w:rPr>
          <w:t>https://assets.kpmg/content/dam/kpmg/xx/pdf/2017/01/the-truth-about-online-consumers.pdf</w:t>
        </w:r>
      </w:hyperlink>
    </w:p>
    <w:p w14:paraId="2564D148" w14:textId="66CB1821" w:rsidR="00971526" w:rsidRPr="00DC4A4E" w:rsidRDefault="00971526" w:rsidP="008B06BF">
      <w:pPr>
        <w:pStyle w:val="HED-References"/>
        <w:jc w:val="both"/>
        <w:rPr>
          <w:color w:val="auto"/>
        </w:rPr>
      </w:pPr>
      <w:proofErr w:type="spellStart"/>
      <w:r w:rsidRPr="00DC4A4E">
        <w:rPr>
          <w:color w:val="auto"/>
        </w:rPr>
        <w:t>Korcsmáros</w:t>
      </w:r>
      <w:proofErr w:type="spellEnd"/>
      <w:r w:rsidRPr="00DC4A4E">
        <w:rPr>
          <w:color w:val="auto"/>
        </w:rPr>
        <w:t xml:space="preserve">, E., </w:t>
      </w:r>
      <w:proofErr w:type="spellStart"/>
      <w:r w:rsidRPr="00DC4A4E">
        <w:rPr>
          <w:color w:val="auto"/>
        </w:rPr>
        <w:t>Seben</w:t>
      </w:r>
      <w:proofErr w:type="spellEnd"/>
      <w:r w:rsidRPr="00DC4A4E">
        <w:rPr>
          <w:color w:val="auto"/>
        </w:rPr>
        <w:t xml:space="preserve">, Z., </w:t>
      </w:r>
      <w:proofErr w:type="spellStart"/>
      <w:r w:rsidRPr="00DC4A4E">
        <w:rPr>
          <w:color w:val="auto"/>
        </w:rPr>
        <w:t>Machová</w:t>
      </w:r>
      <w:proofErr w:type="spellEnd"/>
      <w:r w:rsidRPr="00DC4A4E">
        <w:rPr>
          <w:color w:val="auto"/>
        </w:rPr>
        <w:t xml:space="preserve">, R. &amp; </w:t>
      </w:r>
      <w:proofErr w:type="spellStart"/>
      <w:r w:rsidRPr="00DC4A4E">
        <w:rPr>
          <w:color w:val="auto"/>
        </w:rPr>
        <w:t>Fehér</w:t>
      </w:r>
      <w:proofErr w:type="spellEnd"/>
      <w:r w:rsidRPr="00DC4A4E">
        <w:rPr>
          <w:color w:val="auto"/>
        </w:rPr>
        <w:t xml:space="preserve">, L. (2019), Promotion of Euro Introduction in Slovakia: Financial Literacy of Generation X and Y. </w:t>
      </w:r>
      <w:r w:rsidRPr="00DC4A4E">
        <w:rPr>
          <w:i/>
          <w:color w:val="auto"/>
        </w:rPr>
        <w:t>Marketing and Management of Innovations</w:t>
      </w:r>
      <w:r w:rsidRPr="00DC4A4E">
        <w:rPr>
          <w:color w:val="auto"/>
        </w:rPr>
        <w:t xml:space="preserve">, </w:t>
      </w:r>
      <w:r w:rsidRPr="00DC4A4E">
        <w:rPr>
          <w:i/>
          <w:color w:val="auto"/>
        </w:rPr>
        <w:t>3</w:t>
      </w:r>
      <w:r w:rsidRPr="00DC4A4E">
        <w:rPr>
          <w:color w:val="auto"/>
        </w:rPr>
        <w:t xml:space="preserve">, 11-21. </w:t>
      </w:r>
      <w:hyperlink r:id="rId31" w:history="1">
        <w:r w:rsidR="008B06BF" w:rsidRPr="00DC4A4E">
          <w:rPr>
            <w:rStyle w:val="Hypertextovodkaz"/>
            <w:color w:val="auto"/>
            <w:u w:val="none"/>
          </w:rPr>
          <w:t>https://doi.org/10.21272/mmi.2019.3-01</w:t>
        </w:r>
      </w:hyperlink>
    </w:p>
    <w:p w14:paraId="27BD6C6F" w14:textId="7DB9F1BB" w:rsidR="00971526" w:rsidRPr="00DC4A4E" w:rsidRDefault="00971526" w:rsidP="008B06BF">
      <w:pPr>
        <w:pStyle w:val="HED-References"/>
        <w:jc w:val="both"/>
        <w:rPr>
          <w:color w:val="auto"/>
        </w:rPr>
      </w:pPr>
      <w:r w:rsidRPr="00DC4A4E">
        <w:rPr>
          <w:color w:val="auto"/>
        </w:rPr>
        <w:t xml:space="preserve">Kotler, P., </w:t>
      </w:r>
      <w:proofErr w:type="spellStart"/>
      <w:r w:rsidRPr="00DC4A4E">
        <w:rPr>
          <w:color w:val="auto"/>
        </w:rPr>
        <w:t>Kar</w:t>
      </w:r>
      <w:r w:rsidR="008B06BF" w:rsidRPr="00DC4A4E">
        <w:rPr>
          <w:color w:val="auto"/>
        </w:rPr>
        <w:t>tajaya</w:t>
      </w:r>
      <w:proofErr w:type="spellEnd"/>
      <w:r w:rsidR="008B06BF" w:rsidRPr="00DC4A4E">
        <w:rPr>
          <w:color w:val="auto"/>
        </w:rPr>
        <w:t xml:space="preserve"> H., &amp; Setiawan, I. (2021).</w:t>
      </w:r>
      <w:r w:rsidRPr="00DC4A4E">
        <w:rPr>
          <w:color w:val="auto"/>
        </w:rPr>
        <w:t xml:space="preserve"> </w:t>
      </w:r>
      <w:r w:rsidRPr="00DC4A4E">
        <w:rPr>
          <w:i/>
          <w:color w:val="auto"/>
        </w:rPr>
        <w:t>Marketing 5.0: Technology for Humanity</w:t>
      </w:r>
      <w:r w:rsidRPr="00DC4A4E">
        <w:rPr>
          <w:color w:val="auto"/>
        </w:rPr>
        <w:t>. Hoboken: Wiley.</w:t>
      </w:r>
    </w:p>
    <w:p w14:paraId="28F5976C" w14:textId="66DFAA89" w:rsidR="00971526" w:rsidRPr="00DC4A4E" w:rsidRDefault="00971526" w:rsidP="008B06BF">
      <w:pPr>
        <w:pStyle w:val="HED-References"/>
        <w:jc w:val="both"/>
        <w:rPr>
          <w:color w:val="auto"/>
        </w:rPr>
      </w:pPr>
      <w:proofErr w:type="spellStart"/>
      <w:r w:rsidRPr="00DC4A4E">
        <w:rPr>
          <w:color w:val="auto"/>
        </w:rPr>
        <w:t>Llopis-Amoros</w:t>
      </w:r>
      <w:proofErr w:type="spellEnd"/>
      <w:r w:rsidRPr="00DC4A4E">
        <w:rPr>
          <w:color w:val="auto"/>
        </w:rPr>
        <w:t>, M.</w:t>
      </w:r>
      <w:r w:rsidR="000F19D0">
        <w:rPr>
          <w:color w:val="auto"/>
        </w:rPr>
        <w:t xml:space="preserve"> </w:t>
      </w:r>
      <w:r w:rsidRPr="00DC4A4E">
        <w:rPr>
          <w:color w:val="auto"/>
        </w:rPr>
        <w:t>P., Gil-</w:t>
      </w:r>
      <w:proofErr w:type="spellStart"/>
      <w:r w:rsidRPr="00DC4A4E">
        <w:rPr>
          <w:color w:val="auto"/>
        </w:rPr>
        <w:t>Saura</w:t>
      </w:r>
      <w:proofErr w:type="spellEnd"/>
      <w:r w:rsidRPr="00DC4A4E">
        <w:rPr>
          <w:color w:val="auto"/>
        </w:rPr>
        <w:t>, I., Ruiz-Molina, M. E.</w:t>
      </w:r>
      <w:r w:rsidR="008B06BF" w:rsidRPr="00DC4A4E">
        <w:rPr>
          <w:color w:val="auto"/>
        </w:rPr>
        <w:t>, &amp; Fuentes-</w:t>
      </w:r>
      <w:proofErr w:type="spellStart"/>
      <w:r w:rsidR="008B06BF" w:rsidRPr="00DC4A4E">
        <w:rPr>
          <w:color w:val="auto"/>
        </w:rPr>
        <w:t>Blasco</w:t>
      </w:r>
      <w:proofErr w:type="spellEnd"/>
      <w:r w:rsidR="008B06BF" w:rsidRPr="00DC4A4E">
        <w:rPr>
          <w:color w:val="auto"/>
        </w:rPr>
        <w:t>, M. (2019).</w:t>
      </w:r>
      <w:r w:rsidRPr="00DC4A4E">
        <w:rPr>
          <w:color w:val="auto"/>
        </w:rPr>
        <w:t xml:space="preserve"> Social media communications and festival brand equity: Millennials vs Centennials. </w:t>
      </w:r>
      <w:r w:rsidRPr="00DC4A4E">
        <w:rPr>
          <w:i/>
          <w:color w:val="auto"/>
        </w:rPr>
        <w:t>Journal of Hospitality and Tourism Management</w:t>
      </w:r>
      <w:r w:rsidRPr="00DC4A4E">
        <w:rPr>
          <w:color w:val="auto"/>
        </w:rPr>
        <w:t xml:space="preserve">, </w:t>
      </w:r>
      <w:r w:rsidRPr="00DC4A4E">
        <w:rPr>
          <w:i/>
          <w:color w:val="auto"/>
        </w:rPr>
        <w:t>40</w:t>
      </w:r>
      <w:r w:rsidRPr="00DC4A4E">
        <w:rPr>
          <w:color w:val="auto"/>
        </w:rPr>
        <w:t>, 134-144.</w:t>
      </w:r>
      <w:r w:rsidRPr="00DC4A4E">
        <w:rPr>
          <w:rStyle w:val="Hypertextovodkaz"/>
          <w:color w:val="auto"/>
          <w:u w:val="none"/>
        </w:rPr>
        <w:t xml:space="preserve"> </w:t>
      </w:r>
      <w:hyperlink r:id="rId32" w:history="1">
        <w:r w:rsidR="008B06BF" w:rsidRPr="00DC4A4E">
          <w:rPr>
            <w:rStyle w:val="Hypertextovodkaz"/>
            <w:color w:val="auto"/>
            <w:u w:val="none"/>
          </w:rPr>
          <w:t>https://doi.org/10.1016/j.jhtm.2019.08.002</w:t>
        </w:r>
      </w:hyperlink>
    </w:p>
    <w:p w14:paraId="70BECD71" w14:textId="2724E535" w:rsidR="00971526" w:rsidRPr="00DC4A4E" w:rsidRDefault="00971526" w:rsidP="008B06BF">
      <w:pPr>
        <w:pStyle w:val="HED-References"/>
        <w:jc w:val="both"/>
        <w:rPr>
          <w:color w:val="auto"/>
        </w:rPr>
      </w:pPr>
      <w:proofErr w:type="spellStart"/>
      <w:r w:rsidRPr="00DC4A4E">
        <w:rPr>
          <w:color w:val="auto"/>
        </w:rPr>
        <w:t>Loucanova</w:t>
      </w:r>
      <w:proofErr w:type="spellEnd"/>
      <w:r w:rsidRPr="00DC4A4E">
        <w:rPr>
          <w:color w:val="auto"/>
        </w:rPr>
        <w:t xml:space="preserve">, E., </w:t>
      </w:r>
      <w:proofErr w:type="spellStart"/>
      <w:r w:rsidRPr="00DC4A4E">
        <w:rPr>
          <w:color w:val="auto"/>
        </w:rPr>
        <w:t>Olsiakova</w:t>
      </w:r>
      <w:proofErr w:type="spellEnd"/>
      <w:r w:rsidRPr="00DC4A4E">
        <w:rPr>
          <w:color w:val="auto"/>
        </w:rPr>
        <w:t>, M.</w:t>
      </w:r>
      <w:r w:rsidR="008B06BF" w:rsidRPr="00DC4A4E">
        <w:rPr>
          <w:color w:val="auto"/>
        </w:rPr>
        <w:t xml:space="preserve">, &amp; </w:t>
      </w:r>
      <w:proofErr w:type="spellStart"/>
      <w:r w:rsidR="008B06BF" w:rsidRPr="00DC4A4E">
        <w:rPr>
          <w:color w:val="auto"/>
        </w:rPr>
        <w:t>Dzian</w:t>
      </w:r>
      <w:proofErr w:type="spellEnd"/>
      <w:r w:rsidR="008B06BF" w:rsidRPr="00DC4A4E">
        <w:rPr>
          <w:color w:val="auto"/>
        </w:rPr>
        <w:t>, M. (2018).</w:t>
      </w:r>
      <w:r w:rsidRPr="00DC4A4E">
        <w:rPr>
          <w:color w:val="auto"/>
        </w:rPr>
        <w:t xml:space="preserve"> Suitability of Innovative Marketing Communication Forms in The Furniture Industry. </w:t>
      </w:r>
      <w:r w:rsidRPr="00DC4A4E">
        <w:rPr>
          <w:i/>
          <w:color w:val="auto"/>
        </w:rPr>
        <w:t xml:space="preserve">Acta </w:t>
      </w:r>
      <w:proofErr w:type="spellStart"/>
      <w:r w:rsidRPr="00DC4A4E">
        <w:rPr>
          <w:i/>
          <w:color w:val="auto"/>
        </w:rPr>
        <w:t>Facultatis</w:t>
      </w:r>
      <w:proofErr w:type="spellEnd"/>
      <w:r w:rsidRPr="00DC4A4E">
        <w:rPr>
          <w:i/>
          <w:color w:val="auto"/>
        </w:rPr>
        <w:t xml:space="preserve"> </w:t>
      </w:r>
      <w:proofErr w:type="spellStart"/>
      <w:r w:rsidRPr="00DC4A4E">
        <w:rPr>
          <w:i/>
          <w:color w:val="auto"/>
        </w:rPr>
        <w:t>Xylologiae</w:t>
      </w:r>
      <w:proofErr w:type="spellEnd"/>
      <w:r w:rsidRPr="00DC4A4E">
        <w:rPr>
          <w:i/>
          <w:color w:val="auto"/>
        </w:rPr>
        <w:t xml:space="preserve"> </w:t>
      </w:r>
      <w:proofErr w:type="spellStart"/>
      <w:r w:rsidRPr="00DC4A4E">
        <w:rPr>
          <w:i/>
          <w:color w:val="auto"/>
        </w:rPr>
        <w:t>Zvolen</w:t>
      </w:r>
      <w:proofErr w:type="spellEnd"/>
      <w:r w:rsidR="000F19D0">
        <w:rPr>
          <w:color w:val="auto"/>
        </w:rPr>
        <w:t>,</w:t>
      </w:r>
      <w:r w:rsidRPr="00DC4A4E">
        <w:rPr>
          <w:color w:val="auto"/>
        </w:rPr>
        <w:t xml:space="preserve"> </w:t>
      </w:r>
      <w:r w:rsidRPr="00DC4A4E">
        <w:rPr>
          <w:i/>
          <w:color w:val="auto"/>
        </w:rPr>
        <w:t>60</w:t>
      </w:r>
      <w:r w:rsidRPr="00DC4A4E">
        <w:rPr>
          <w:color w:val="auto"/>
        </w:rPr>
        <w:t xml:space="preserve">(1), 159-171. </w:t>
      </w:r>
      <w:hyperlink r:id="rId33" w:history="1">
        <w:r w:rsidR="008B06BF" w:rsidRPr="00DC4A4E">
          <w:rPr>
            <w:rStyle w:val="Hypertextovodkaz"/>
            <w:color w:val="auto"/>
            <w:u w:val="none"/>
          </w:rPr>
          <w:t>https://doi.org/10.17423/afx.2018.60.1.17</w:t>
        </w:r>
      </w:hyperlink>
    </w:p>
    <w:p w14:paraId="12964711" w14:textId="5D638310" w:rsidR="0064386E" w:rsidRPr="00DC4A4E" w:rsidRDefault="0064386E" w:rsidP="0064386E">
      <w:pPr>
        <w:pStyle w:val="HED-References"/>
        <w:rPr>
          <w:color w:val="auto"/>
        </w:rPr>
      </w:pPr>
      <w:proofErr w:type="spellStart"/>
      <w:r w:rsidRPr="00DC4A4E">
        <w:rPr>
          <w:color w:val="auto"/>
        </w:rPr>
        <w:t>Luu</w:t>
      </w:r>
      <w:proofErr w:type="spellEnd"/>
      <w:r w:rsidRPr="00DC4A4E">
        <w:rPr>
          <w:color w:val="auto"/>
        </w:rPr>
        <w:t xml:space="preserve">, C. T., &amp; Galan, J. P. (2021). Wine tourism destination: Effects of brand experience on visitor behavior and mediating roles of brand image, brand loyalty, and visitor satisfaction. In </w:t>
      </w:r>
      <w:r w:rsidR="000F19D0">
        <w:rPr>
          <w:color w:val="auto"/>
        </w:rPr>
        <w:t xml:space="preserve">A. </w:t>
      </w:r>
      <w:proofErr w:type="spellStart"/>
      <w:r w:rsidRPr="00DC4A4E">
        <w:rPr>
          <w:color w:val="auto"/>
        </w:rPr>
        <w:t>Monfort</w:t>
      </w:r>
      <w:proofErr w:type="spellEnd"/>
      <w:r w:rsidRPr="00DC4A4E">
        <w:rPr>
          <w:color w:val="auto"/>
        </w:rPr>
        <w:t xml:space="preserve"> (Ed.), </w:t>
      </w:r>
      <w:r w:rsidRPr="00DC4A4E">
        <w:rPr>
          <w:i/>
          <w:color w:val="auto"/>
        </w:rPr>
        <w:t>Proceedings of the European Marketing Academy, 50</w:t>
      </w:r>
      <w:r w:rsidRPr="00DC4A4E">
        <w:rPr>
          <w:i/>
          <w:color w:val="auto"/>
          <w:vertAlign w:val="superscript"/>
        </w:rPr>
        <w:t>th</w:t>
      </w:r>
      <w:r w:rsidRPr="00DC4A4E">
        <w:rPr>
          <w:i/>
          <w:color w:val="auto"/>
        </w:rPr>
        <w:t xml:space="preserve"> Annual EMAC Conference 2021</w:t>
      </w:r>
      <w:r w:rsidRPr="00DC4A4E">
        <w:rPr>
          <w:color w:val="auto"/>
        </w:rPr>
        <w:t>. EMAC-European Marketing Academy.</w:t>
      </w:r>
    </w:p>
    <w:p w14:paraId="62DC65A1" w14:textId="32AF9C2A" w:rsidR="00971526" w:rsidRPr="00DC4A4E" w:rsidRDefault="00971526" w:rsidP="008B06BF">
      <w:pPr>
        <w:pStyle w:val="HED-References"/>
        <w:jc w:val="both"/>
        <w:rPr>
          <w:color w:val="auto"/>
        </w:rPr>
      </w:pPr>
      <w:proofErr w:type="spellStart"/>
      <w:r w:rsidRPr="00DC4A4E">
        <w:rPr>
          <w:color w:val="auto"/>
        </w:rPr>
        <w:t>Mac</w:t>
      </w:r>
      <w:r w:rsidR="008B06BF" w:rsidRPr="00DC4A4E">
        <w:rPr>
          <w:color w:val="auto"/>
        </w:rPr>
        <w:t>iaszczyk</w:t>
      </w:r>
      <w:proofErr w:type="spellEnd"/>
      <w:r w:rsidR="008B06BF" w:rsidRPr="00DC4A4E">
        <w:rPr>
          <w:color w:val="auto"/>
        </w:rPr>
        <w:t xml:space="preserve">, M., &amp; </w:t>
      </w:r>
      <w:proofErr w:type="spellStart"/>
      <w:r w:rsidR="008B06BF" w:rsidRPr="00DC4A4E">
        <w:rPr>
          <w:color w:val="auto"/>
        </w:rPr>
        <w:t>Kocot</w:t>
      </w:r>
      <w:proofErr w:type="spellEnd"/>
      <w:r w:rsidR="008B06BF" w:rsidRPr="00DC4A4E">
        <w:rPr>
          <w:color w:val="auto"/>
        </w:rPr>
        <w:t>, M. (2021).</w:t>
      </w:r>
      <w:r w:rsidRPr="00DC4A4E">
        <w:rPr>
          <w:color w:val="auto"/>
        </w:rPr>
        <w:t xml:space="preserve"> Behavior of Online Prosumers in Organic Product Market as Determinant of Sustainable Consumption. </w:t>
      </w:r>
      <w:r w:rsidRPr="00DC4A4E">
        <w:rPr>
          <w:i/>
          <w:color w:val="auto"/>
        </w:rPr>
        <w:t>Sustainability</w:t>
      </w:r>
      <w:r w:rsidRPr="00DC4A4E">
        <w:rPr>
          <w:color w:val="auto"/>
        </w:rPr>
        <w:t xml:space="preserve">, </w:t>
      </w:r>
      <w:r w:rsidRPr="00DC4A4E">
        <w:rPr>
          <w:i/>
          <w:color w:val="auto"/>
        </w:rPr>
        <w:t>13</w:t>
      </w:r>
      <w:r w:rsidRPr="00DC4A4E">
        <w:rPr>
          <w:color w:val="auto"/>
        </w:rPr>
        <w:t xml:space="preserve">(3). </w:t>
      </w:r>
      <w:hyperlink r:id="rId34" w:history="1">
        <w:r w:rsidR="008B06BF" w:rsidRPr="00DC4A4E">
          <w:rPr>
            <w:rStyle w:val="Hypertextovodkaz"/>
            <w:color w:val="auto"/>
            <w:u w:val="none"/>
          </w:rPr>
          <w:t>https://doi.org/10.3390/su13031157</w:t>
        </w:r>
      </w:hyperlink>
    </w:p>
    <w:p w14:paraId="3C33BBD0" w14:textId="057212E3" w:rsidR="00971526" w:rsidRPr="00DC4A4E" w:rsidRDefault="00971526" w:rsidP="008B06BF">
      <w:pPr>
        <w:pStyle w:val="HED-References"/>
        <w:jc w:val="both"/>
        <w:rPr>
          <w:color w:val="auto"/>
        </w:rPr>
      </w:pPr>
      <w:proofErr w:type="spellStart"/>
      <w:r w:rsidRPr="00DC4A4E">
        <w:rPr>
          <w:color w:val="auto"/>
        </w:rPr>
        <w:t>Matijová</w:t>
      </w:r>
      <w:proofErr w:type="spellEnd"/>
      <w:r w:rsidRPr="00DC4A4E">
        <w:rPr>
          <w:color w:val="auto"/>
        </w:rPr>
        <w:t xml:space="preserve">, M., </w:t>
      </w:r>
      <w:proofErr w:type="spellStart"/>
      <w:r w:rsidRPr="00DC4A4E">
        <w:rPr>
          <w:color w:val="auto"/>
        </w:rPr>
        <w:t>Onuferová</w:t>
      </w:r>
      <w:proofErr w:type="spellEnd"/>
      <w:r w:rsidRPr="00DC4A4E">
        <w:rPr>
          <w:color w:val="auto"/>
        </w:rPr>
        <w:t>, E.</w:t>
      </w:r>
      <w:r w:rsidR="008B06BF" w:rsidRPr="00DC4A4E">
        <w:rPr>
          <w:color w:val="auto"/>
        </w:rPr>
        <w:t xml:space="preserve">, &amp; </w:t>
      </w:r>
      <w:proofErr w:type="spellStart"/>
      <w:r w:rsidR="008B06BF" w:rsidRPr="00DC4A4E">
        <w:rPr>
          <w:color w:val="auto"/>
        </w:rPr>
        <w:t>Rigelský</w:t>
      </w:r>
      <w:proofErr w:type="spellEnd"/>
      <w:r w:rsidR="008B06BF" w:rsidRPr="00DC4A4E">
        <w:rPr>
          <w:color w:val="auto"/>
        </w:rPr>
        <w:t>, M. (2019).</w:t>
      </w:r>
      <w:r w:rsidRPr="00DC4A4E">
        <w:rPr>
          <w:color w:val="auto"/>
        </w:rPr>
        <w:t xml:space="preserve"> Relationship </w:t>
      </w:r>
      <w:r w:rsidR="008B06BF" w:rsidRPr="00DC4A4E">
        <w:rPr>
          <w:color w:val="auto"/>
        </w:rPr>
        <w:t>between</w:t>
      </w:r>
      <w:r w:rsidRPr="00DC4A4E">
        <w:rPr>
          <w:color w:val="auto"/>
        </w:rPr>
        <w:t xml:space="preserve"> Performance </w:t>
      </w:r>
      <w:proofErr w:type="spellStart"/>
      <w:r w:rsidRPr="00DC4A4E">
        <w:rPr>
          <w:color w:val="auto"/>
        </w:rPr>
        <w:t>Tourisme</w:t>
      </w:r>
      <w:proofErr w:type="spellEnd"/>
      <w:r w:rsidRPr="00DC4A4E">
        <w:rPr>
          <w:color w:val="auto"/>
        </w:rPr>
        <w:t xml:space="preserve"> </w:t>
      </w:r>
      <w:r w:rsidR="008B06BF" w:rsidRPr="00DC4A4E">
        <w:rPr>
          <w:color w:val="auto"/>
        </w:rPr>
        <w:t>P</w:t>
      </w:r>
      <w:r w:rsidRPr="00DC4A4E">
        <w:rPr>
          <w:color w:val="auto"/>
        </w:rPr>
        <w:t xml:space="preserve">otential and Economic Outputs of the Regions in the Slovak Republic. </w:t>
      </w:r>
      <w:r w:rsidRPr="00DC4A4E">
        <w:rPr>
          <w:i/>
          <w:color w:val="auto"/>
        </w:rPr>
        <w:t xml:space="preserve">Acta </w:t>
      </w:r>
      <w:proofErr w:type="spellStart"/>
      <w:r w:rsidRPr="00DC4A4E">
        <w:rPr>
          <w:i/>
          <w:color w:val="auto"/>
        </w:rPr>
        <w:t>Oeconomica</w:t>
      </w:r>
      <w:proofErr w:type="spellEnd"/>
      <w:r w:rsidRPr="00DC4A4E">
        <w:rPr>
          <w:i/>
          <w:color w:val="auto"/>
        </w:rPr>
        <w:t xml:space="preserve"> Universitatis Selye</w:t>
      </w:r>
      <w:r w:rsidRPr="00DC4A4E">
        <w:rPr>
          <w:color w:val="auto"/>
        </w:rPr>
        <w:t xml:space="preserve">, </w:t>
      </w:r>
      <w:r w:rsidRPr="00DC4A4E">
        <w:rPr>
          <w:i/>
          <w:color w:val="auto"/>
        </w:rPr>
        <w:t>8</w:t>
      </w:r>
      <w:r w:rsidRPr="00DC4A4E">
        <w:rPr>
          <w:color w:val="auto"/>
        </w:rPr>
        <w:t>(2), 28-40.</w:t>
      </w:r>
    </w:p>
    <w:p w14:paraId="27B8EABD" w14:textId="2F2A84CB" w:rsidR="00971526" w:rsidRPr="00DC4A4E" w:rsidRDefault="00971526" w:rsidP="008B06BF">
      <w:pPr>
        <w:pStyle w:val="HED-References"/>
        <w:jc w:val="both"/>
        <w:rPr>
          <w:color w:val="auto"/>
        </w:rPr>
      </w:pPr>
      <w:r w:rsidRPr="00DC4A4E">
        <w:rPr>
          <w:color w:val="auto"/>
        </w:rPr>
        <w:lastRenderedPageBreak/>
        <w:t>Mura, L.</w:t>
      </w:r>
      <w:r w:rsidR="00BF07B3" w:rsidRPr="00DC4A4E">
        <w:rPr>
          <w:color w:val="auto"/>
        </w:rPr>
        <w:t xml:space="preserve">, &amp; </w:t>
      </w:r>
      <w:proofErr w:type="spellStart"/>
      <w:r w:rsidR="00BF07B3" w:rsidRPr="00DC4A4E">
        <w:rPr>
          <w:color w:val="auto"/>
        </w:rPr>
        <w:t>Kajzar</w:t>
      </w:r>
      <w:proofErr w:type="spellEnd"/>
      <w:r w:rsidR="00BF07B3" w:rsidRPr="00DC4A4E">
        <w:rPr>
          <w:color w:val="auto"/>
        </w:rPr>
        <w:t>, P. (2019).</w:t>
      </w:r>
      <w:r w:rsidRPr="00DC4A4E">
        <w:rPr>
          <w:color w:val="auto"/>
        </w:rPr>
        <w:t xml:space="preserve"> Small Businesses in Cultural Tourism in a Central European Country. </w:t>
      </w:r>
      <w:r w:rsidRPr="00DC4A4E">
        <w:rPr>
          <w:i/>
          <w:color w:val="auto"/>
        </w:rPr>
        <w:t>Journal of Tourism and Services</w:t>
      </w:r>
      <w:r w:rsidR="00BF07B3" w:rsidRPr="00DC4A4E">
        <w:rPr>
          <w:color w:val="auto"/>
        </w:rPr>
        <w:t xml:space="preserve">, </w:t>
      </w:r>
      <w:r w:rsidR="00BF07B3" w:rsidRPr="00DC4A4E">
        <w:rPr>
          <w:i/>
          <w:color w:val="auto"/>
        </w:rPr>
        <w:t>10</w:t>
      </w:r>
      <w:r w:rsidRPr="00DC4A4E">
        <w:rPr>
          <w:color w:val="auto"/>
        </w:rPr>
        <w:t xml:space="preserve">(19), 40-54. </w:t>
      </w:r>
      <w:hyperlink r:id="rId35" w:history="1">
        <w:r w:rsidR="00BF07B3" w:rsidRPr="00DC4A4E">
          <w:rPr>
            <w:rStyle w:val="Hypertextovodkaz"/>
            <w:color w:val="auto"/>
            <w:u w:val="none"/>
          </w:rPr>
          <w:t>https://doi.org/10.29036/jots.v10i19.110</w:t>
        </w:r>
      </w:hyperlink>
    </w:p>
    <w:p w14:paraId="7C1215C5" w14:textId="0C148145" w:rsidR="00971526" w:rsidRPr="00DC4A4E" w:rsidRDefault="00BF07B3" w:rsidP="008B06BF">
      <w:pPr>
        <w:pStyle w:val="HED-References"/>
        <w:jc w:val="both"/>
        <w:rPr>
          <w:color w:val="auto"/>
        </w:rPr>
      </w:pPr>
      <w:proofErr w:type="spellStart"/>
      <w:r w:rsidRPr="00DC4A4E">
        <w:rPr>
          <w:color w:val="auto"/>
        </w:rPr>
        <w:t>Musová</w:t>
      </w:r>
      <w:proofErr w:type="spellEnd"/>
      <w:r w:rsidRPr="00DC4A4E">
        <w:rPr>
          <w:color w:val="auto"/>
        </w:rPr>
        <w:t>, Z. (2015).</w:t>
      </w:r>
      <w:r w:rsidR="00971526" w:rsidRPr="00DC4A4E">
        <w:rPr>
          <w:color w:val="auto"/>
        </w:rPr>
        <w:t xml:space="preserve"> Responsible behavior of businesses and its impact on consumer behavior. </w:t>
      </w:r>
      <w:r w:rsidR="00971526" w:rsidRPr="00DC4A4E">
        <w:rPr>
          <w:i/>
          <w:color w:val="auto"/>
        </w:rPr>
        <w:t xml:space="preserve">Acta </w:t>
      </w:r>
      <w:proofErr w:type="spellStart"/>
      <w:r w:rsidR="00971526" w:rsidRPr="00DC4A4E">
        <w:rPr>
          <w:i/>
          <w:color w:val="auto"/>
        </w:rPr>
        <w:t>Oeconomica</w:t>
      </w:r>
      <w:proofErr w:type="spellEnd"/>
      <w:r w:rsidR="00971526" w:rsidRPr="00DC4A4E">
        <w:rPr>
          <w:i/>
          <w:color w:val="auto"/>
        </w:rPr>
        <w:t xml:space="preserve"> Universitatis Selye</w:t>
      </w:r>
      <w:r w:rsidR="00971526" w:rsidRPr="00DC4A4E">
        <w:rPr>
          <w:color w:val="auto"/>
        </w:rPr>
        <w:t xml:space="preserve">, </w:t>
      </w:r>
      <w:r w:rsidR="00971526" w:rsidRPr="00DC4A4E">
        <w:rPr>
          <w:i/>
          <w:color w:val="auto"/>
        </w:rPr>
        <w:t>4</w:t>
      </w:r>
      <w:r w:rsidR="00971526" w:rsidRPr="00DC4A4E">
        <w:rPr>
          <w:color w:val="auto"/>
        </w:rPr>
        <w:t>(2), 138</w:t>
      </w:r>
      <w:r w:rsidR="000F19D0">
        <w:rPr>
          <w:color w:val="auto"/>
        </w:rPr>
        <w:t>-</w:t>
      </w:r>
      <w:r w:rsidR="00971526" w:rsidRPr="00DC4A4E">
        <w:rPr>
          <w:color w:val="auto"/>
        </w:rPr>
        <w:t>147.</w:t>
      </w:r>
    </w:p>
    <w:p w14:paraId="5CDA20D9" w14:textId="1B726D7F" w:rsidR="00971526" w:rsidRPr="00DC4A4E" w:rsidRDefault="00971526" w:rsidP="008B06BF">
      <w:pPr>
        <w:pStyle w:val="HED-References"/>
        <w:jc w:val="both"/>
        <w:rPr>
          <w:color w:val="auto"/>
        </w:rPr>
      </w:pPr>
      <w:proofErr w:type="spellStart"/>
      <w:r w:rsidRPr="00DC4A4E">
        <w:rPr>
          <w:color w:val="auto"/>
        </w:rPr>
        <w:t>Nadanyiova</w:t>
      </w:r>
      <w:proofErr w:type="spellEnd"/>
      <w:r w:rsidRPr="00DC4A4E">
        <w:rPr>
          <w:color w:val="auto"/>
        </w:rPr>
        <w:t xml:space="preserve">, M., </w:t>
      </w:r>
      <w:proofErr w:type="spellStart"/>
      <w:r w:rsidRPr="00DC4A4E">
        <w:rPr>
          <w:color w:val="auto"/>
        </w:rPr>
        <w:t>Gajanova</w:t>
      </w:r>
      <w:proofErr w:type="spellEnd"/>
      <w:r w:rsidRPr="00DC4A4E">
        <w:rPr>
          <w:color w:val="auto"/>
        </w:rPr>
        <w:t>, L.</w:t>
      </w:r>
      <w:r w:rsidR="00BF07B3" w:rsidRPr="00DC4A4E">
        <w:rPr>
          <w:color w:val="auto"/>
        </w:rPr>
        <w:t xml:space="preserve">, &amp; </w:t>
      </w:r>
      <w:proofErr w:type="spellStart"/>
      <w:r w:rsidR="00BF07B3" w:rsidRPr="00DC4A4E">
        <w:rPr>
          <w:color w:val="auto"/>
        </w:rPr>
        <w:t>Majerova</w:t>
      </w:r>
      <w:proofErr w:type="spellEnd"/>
      <w:r w:rsidR="00BF07B3" w:rsidRPr="00DC4A4E">
        <w:rPr>
          <w:color w:val="auto"/>
        </w:rPr>
        <w:t>, J. (2020).</w:t>
      </w:r>
      <w:r w:rsidRPr="00DC4A4E">
        <w:rPr>
          <w:color w:val="auto"/>
        </w:rPr>
        <w:t xml:space="preserve"> Green Marketing as a Part of the Socially Responsible Brand's Communication from the Aspect of Generational Stratification. </w:t>
      </w:r>
      <w:r w:rsidRPr="00DC4A4E">
        <w:rPr>
          <w:i/>
          <w:color w:val="auto"/>
        </w:rPr>
        <w:t>Sustainability</w:t>
      </w:r>
      <w:r w:rsidRPr="00DC4A4E">
        <w:rPr>
          <w:color w:val="auto"/>
        </w:rPr>
        <w:t xml:space="preserve">, </w:t>
      </w:r>
      <w:r w:rsidRPr="00DC4A4E">
        <w:rPr>
          <w:i/>
          <w:color w:val="auto"/>
        </w:rPr>
        <w:t>12</w:t>
      </w:r>
      <w:r w:rsidRPr="00DC4A4E">
        <w:rPr>
          <w:color w:val="auto"/>
        </w:rPr>
        <w:t xml:space="preserve">(7). </w:t>
      </w:r>
      <w:hyperlink r:id="rId36" w:history="1">
        <w:r w:rsidR="00BF07B3" w:rsidRPr="00DC4A4E">
          <w:rPr>
            <w:rStyle w:val="Hypertextovodkaz"/>
            <w:color w:val="auto"/>
            <w:u w:val="none"/>
          </w:rPr>
          <w:t>https://doi.org/10.3390/su12177118</w:t>
        </w:r>
      </w:hyperlink>
    </w:p>
    <w:p w14:paraId="09FCC131" w14:textId="5A8E8A22" w:rsidR="00971526" w:rsidRPr="00DC4A4E" w:rsidRDefault="00BF07B3" w:rsidP="008B06BF">
      <w:pPr>
        <w:pStyle w:val="HED-References"/>
        <w:jc w:val="both"/>
        <w:rPr>
          <w:color w:val="auto"/>
        </w:rPr>
      </w:pPr>
      <w:proofErr w:type="spellStart"/>
      <w:r w:rsidRPr="00DC4A4E">
        <w:rPr>
          <w:color w:val="auto"/>
        </w:rPr>
        <w:t>Novotný</w:t>
      </w:r>
      <w:proofErr w:type="spellEnd"/>
      <w:r w:rsidRPr="00DC4A4E">
        <w:rPr>
          <w:color w:val="auto"/>
        </w:rPr>
        <w:t>, J. (2015).</w:t>
      </w:r>
      <w:r w:rsidR="00971526" w:rsidRPr="00DC4A4E">
        <w:rPr>
          <w:color w:val="auto"/>
        </w:rPr>
        <w:t xml:space="preserve"> Customer segmentation and customer relationship management. </w:t>
      </w:r>
      <w:r w:rsidR="00971526" w:rsidRPr="00DC4A4E">
        <w:rPr>
          <w:i/>
          <w:color w:val="auto"/>
        </w:rPr>
        <w:t xml:space="preserve">Acta </w:t>
      </w:r>
      <w:proofErr w:type="spellStart"/>
      <w:r w:rsidR="00971526" w:rsidRPr="00DC4A4E">
        <w:rPr>
          <w:i/>
          <w:color w:val="auto"/>
        </w:rPr>
        <w:t>Oeconomica</w:t>
      </w:r>
      <w:proofErr w:type="spellEnd"/>
      <w:r w:rsidR="00971526" w:rsidRPr="00DC4A4E">
        <w:rPr>
          <w:i/>
          <w:color w:val="auto"/>
        </w:rPr>
        <w:t xml:space="preserve"> Universitatis Selye</w:t>
      </w:r>
      <w:r w:rsidR="00971526" w:rsidRPr="00DC4A4E">
        <w:rPr>
          <w:color w:val="auto"/>
        </w:rPr>
        <w:t xml:space="preserve">, </w:t>
      </w:r>
      <w:r w:rsidR="00971526" w:rsidRPr="00DC4A4E">
        <w:rPr>
          <w:i/>
          <w:color w:val="auto"/>
        </w:rPr>
        <w:t>4</w:t>
      </w:r>
      <w:r w:rsidRPr="00DC4A4E">
        <w:rPr>
          <w:color w:val="auto"/>
        </w:rPr>
        <w:t>(1), 114-</w:t>
      </w:r>
      <w:r w:rsidR="00971526" w:rsidRPr="00DC4A4E">
        <w:rPr>
          <w:color w:val="auto"/>
        </w:rPr>
        <w:t>119.</w:t>
      </w:r>
    </w:p>
    <w:p w14:paraId="408C256E" w14:textId="5197B472" w:rsidR="00971526" w:rsidRPr="00DC4A4E" w:rsidRDefault="00BF07B3" w:rsidP="008B06BF">
      <w:pPr>
        <w:pStyle w:val="HED-References"/>
        <w:jc w:val="both"/>
        <w:rPr>
          <w:color w:val="auto"/>
        </w:rPr>
      </w:pPr>
      <w:proofErr w:type="spellStart"/>
      <w:r w:rsidRPr="00DC4A4E">
        <w:rPr>
          <w:color w:val="auto"/>
        </w:rPr>
        <w:t>Okros</w:t>
      </w:r>
      <w:proofErr w:type="spellEnd"/>
      <w:r w:rsidRPr="00DC4A4E">
        <w:rPr>
          <w:color w:val="auto"/>
        </w:rPr>
        <w:t>, A. (2020).</w:t>
      </w:r>
      <w:r w:rsidR="00971526" w:rsidRPr="00DC4A4E">
        <w:rPr>
          <w:color w:val="auto"/>
        </w:rPr>
        <w:t xml:space="preserve"> </w:t>
      </w:r>
      <w:r w:rsidR="00971526" w:rsidRPr="00DC4A4E">
        <w:rPr>
          <w:i/>
          <w:color w:val="auto"/>
        </w:rPr>
        <w:t xml:space="preserve">Harnessing the Potential of Digital Post-Millennials in </w:t>
      </w:r>
      <w:r w:rsidRPr="00DC4A4E">
        <w:rPr>
          <w:i/>
          <w:color w:val="auto"/>
        </w:rPr>
        <w:t>the</w:t>
      </w:r>
      <w:r w:rsidR="00971526" w:rsidRPr="00DC4A4E">
        <w:rPr>
          <w:i/>
          <w:color w:val="auto"/>
        </w:rPr>
        <w:t xml:space="preserve"> Future Workplace</w:t>
      </w:r>
      <w:r w:rsidR="00971526" w:rsidRPr="00DC4A4E">
        <w:rPr>
          <w:color w:val="auto"/>
        </w:rPr>
        <w:t xml:space="preserve">. Berlin: Springer. </w:t>
      </w:r>
      <w:hyperlink r:id="rId37" w:history="1">
        <w:r w:rsidRPr="00DC4A4E">
          <w:rPr>
            <w:rStyle w:val="Hypertextovodkaz"/>
            <w:color w:val="auto"/>
            <w:u w:val="none"/>
          </w:rPr>
          <w:t>https://doi.org/10.1007/978-3-030-25726-2</w:t>
        </w:r>
      </w:hyperlink>
    </w:p>
    <w:p w14:paraId="5B84C261" w14:textId="5F64BED5" w:rsidR="00971526" w:rsidRPr="00DC4A4E" w:rsidRDefault="00971526" w:rsidP="008B06BF">
      <w:pPr>
        <w:pStyle w:val="HED-References"/>
        <w:jc w:val="both"/>
        <w:rPr>
          <w:color w:val="auto"/>
        </w:rPr>
      </w:pPr>
      <w:r w:rsidRPr="003F4CA8">
        <w:rPr>
          <w:color w:val="auto"/>
          <w:spacing w:val="2"/>
        </w:rPr>
        <w:t>Page,</w:t>
      </w:r>
      <w:r w:rsidR="00BF07B3" w:rsidRPr="003F4CA8">
        <w:rPr>
          <w:color w:val="auto"/>
          <w:spacing w:val="2"/>
        </w:rPr>
        <w:t xml:space="preserve"> R. A., &amp; Williams, K. C. (2011).</w:t>
      </w:r>
      <w:r w:rsidRPr="003F4CA8">
        <w:rPr>
          <w:color w:val="auto"/>
          <w:spacing w:val="2"/>
        </w:rPr>
        <w:t xml:space="preserve"> Marketing to the Generations</w:t>
      </w:r>
      <w:r w:rsidRPr="003F4CA8">
        <w:rPr>
          <w:i/>
          <w:color w:val="auto"/>
          <w:spacing w:val="2"/>
        </w:rPr>
        <w:t>. Journal of Behavioral Studies in Business</w:t>
      </w:r>
      <w:r w:rsidRPr="003F4CA8">
        <w:rPr>
          <w:color w:val="auto"/>
          <w:spacing w:val="2"/>
        </w:rPr>
        <w:t xml:space="preserve">, </w:t>
      </w:r>
      <w:r w:rsidRPr="003F4CA8">
        <w:rPr>
          <w:i/>
          <w:color w:val="auto"/>
          <w:spacing w:val="2"/>
        </w:rPr>
        <w:t>3</w:t>
      </w:r>
      <w:r w:rsidR="00BF07B3" w:rsidRPr="003F4CA8">
        <w:rPr>
          <w:color w:val="auto"/>
          <w:spacing w:val="2"/>
        </w:rPr>
        <w:t>(1),</w:t>
      </w:r>
      <w:r w:rsidR="00675026" w:rsidRPr="003F4CA8">
        <w:rPr>
          <w:color w:val="auto"/>
          <w:spacing w:val="2"/>
        </w:rPr>
        <w:br/>
      </w:r>
      <w:r w:rsidR="00BF07B3" w:rsidRPr="00DC4A4E">
        <w:rPr>
          <w:color w:val="auto"/>
        </w:rPr>
        <w:t>1-</w:t>
      </w:r>
      <w:r w:rsidRPr="00DC4A4E">
        <w:rPr>
          <w:color w:val="auto"/>
        </w:rPr>
        <w:t>17.</w:t>
      </w:r>
    </w:p>
    <w:p w14:paraId="0F21DFC7" w14:textId="4CD56702" w:rsidR="00971526" w:rsidRPr="00DC4A4E" w:rsidRDefault="00BF07B3" w:rsidP="008B06BF">
      <w:pPr>
        <w:pStyle w:val="HED-References"/>
        <w:jc w:val="both"/>
        <w:rPr>
          <w:color w:val="auto"/>
        </w:rPr>
      </w:pPr>
      <w:proofErr w:type="spellStart"/>
      <w:r w:rsidRPr="00DC4A4E">
        <w:rPr>
          <w:color w:val="auto"/>
        </w:rPr>
        <w:t>Poliačiková</w:t>
      </w:r>
      <w:proofErr w:type="spellEnd"/>
      <w:r w:rsidRPr="00DC4A4E">
        <w:rPr>
          <w:color w:val="auto"/>
        </w:rPr>
        <w:t>, E. (2017).</w:t>
      </w:r>
      <w:r w:rsidR="00971526" w:rsidRPr="00DC4A4E">
        <w:rPr>
          <w:color w:val="auto"/>
        </w:rPr>
        <w:t xml:space="preserve"> Perception of types of markets of customers in Slovakia. </w:t>
      </w:r>
      <w:r w:rsidR="00971526" w:rsidRPr="00DC4A4E">
        <w:rPr>
          <w:i/>
          <w:color w:val="auto"/>
        </w:rPr>
        <w:t xml:space="preserve">Acta </w:t>
      </w:r>
      <w:proofErr w:type="spellStart"/>
      <w:r w:rsidR="00971526" w:rsidRPr="00DC4A4E">
        <w:rPr>
          <w:i/>
          <w:color w:val="auto"/>
        </w:rPr>
        <w:t>Oeconomica</w:t>
      </w:r>
      <w:proofErr w:type="spellEnd"/>
      <w:r w:rsidR="00971526" w:rsidRPr="00DC4A4E">
        <w:rPr>
          <w:i/>
          <w:color w:val="auto"/>
        </w:rPr>
        <w:t xml:space="preserve"> U</w:t>
      </w:r>
      <w:r w:rsidRPr="00DC4A4E">
        <w:rPr>
          <w:i/>
          <w:color w:val="auto"/>
        </w:rPr>
        <w:t>niversitatis Selye</w:t>
      </w:r>
      <w:r w:rsidRPr="00DC4A4E">
        <w:rPr>
          <w:color w:val="auto"/>
        </w:rPr>
        <w:t>, 6(1), 129-</w:t>
      </w:r>
      <w:r w:rsidR="00971526" w:rsidRPr="00DC4A4E">
        <w:rPr>
          <w:color w:val="auto"/>
        </w:rPr>
        <w:t>136.</w:t>
      </w:r>
    </w:p>
    <w:p w14:paraId="21929549" w14:textId="064D8D60" w:rsidR="00971526" w:rsidRPr="00DC4A4E" w:rsidRDefault="00971526" w:rsidP="008B06BF">
      <w:pPr>
        <w:pStyle w:val="HED-References"/>
        <w:jc w:val="both"/>
        <w:rPr>
          <w:color w:val="auto"/>
        </w:rPr>
      </w:pPr>
      <w:r w:rsidRPr="00DC4A4E">
        <w:rPr>
          <w:color w:val="auto"/>
        </w:rPr>
        <w:t xml:space="preserve">Prince, M., </w:t>
      </w:r>
      <w:proofErr w:type="spellStart"/>
      <w:r w:rsidRPr="00DC4A4E">
        <w:rPr>
          <w:color w:val="auto"/>
        </w:rPr>
        <w:t>Yaprak</w:t>
      </w:r>
      <w:proofErr w:type="spellEnd"/>
      <w:r w:rsidRPr="00DC4A4E">
        <w:rPr>
          <w:color w:val="auto"/>
        </w:rPr>
        <w:t xml:space="preserve">, A., Cleveland, M., Davies, M.A.P., </w:t>
      </w:r>
      <w:proofErr w:type="spellStart"/>
      <w:r w:rsidRPr="00DC4A4E">
        <w:rPr>
          <w:color w:val="auto"/>
        </w:rPr>
        <w:t>Josiassen</w:t>
      </w:r>
      <w:proofErr w:type="spellEnd"/>
      <w:r w:rsidRPr="00DC4A4E">
        <w:rPr>
          <w:color w:val="auto"/>
        </w:rPr>
        <w:t xml:space="preserve">, A., </w:t>
      </w:r>
      <w:proofErr w:type="spellStart"/>
      <w:r w:rsidRPr="00DC4A4E">
        <w:rPr>
          <w:color w:val="auto"/>
        </w:rPr>
        <w:t>Nechtelberger</w:t>
      </w:r>
      <w:proofErr w:type="spellEnd"/>
      <w:r w:rsidRPr="00DC4A4E">
        <w:rPr>
          <w:color w:val="auto"/>
        </w:rPr>
        <w:t xml:space="preserve">, A., </w:t>
      </w:r>
      <w:proofErr w:type="spellStart"/>
      <w:r w:rsidRPr="00DC4A4E">
        <w:rPr>
          <w:color w:val="auto"/>
        </w:rPr>
        <w:t>Nechtelberger</w:t>
      </w:r>
      <w:proofErr w:type="spellEnd"/>
      <w:r w:rsidRPr="00DC4A4E">
        <w:rPr>
          <w:color w:val="auto"/>
        </w:rPr>
        <w:t xml:space="preserve">, M., </w:t>
      </w:r>
      <w:proofErr w:type="spellStart"/>
      <w:r w:rsidRPr="00DC4A4E">
        <w:rPr>
          <w:color w:val="auto"/>
        </w:rPr>
        <w:t>Palihawadana</w:t>
      </w:r>
      <w:proofErr w:type="spellEnd"/>
      <w:r w:rsidRPr="00DC4A4E">
        <w:rPr>
          <w:color w:val="auto"/>
        </w:rPr>
        <w:t xml:space="preserve">, D., Renner, W., </w:t>
      </w:r>
      <w:proofErr w:type="spellStart"/>
      <w:r w:rsidRPr="00DC4A4E">
        <w:rPr>
          <w:color w:val="auto"/>
        </w:rPr>
        <w:t>Chovanova</w:t>
      </w:r>
      <w:proofErr w:type="spellEnd"/>
      <w:r w:rsidRPr="00DC4A4E">
        <w:rPr>
          <w:color w:val="auto"/>
        </w:rPr>
        <w:t xml:space="preserve"> </w:t>
      </w:r>
      <w:proofErr w:type="spellStart"/>
      <w:r w:rsidRPr="00DC4A4E">
        <w:rPr>
          <w:color w:val="auto"/>
        </w:rPr>
        <w:t>Supekova</w:t>
      </w:r>
      <w:proofErr w:type="spellEnd"/>
      <w:r w:rsidRPr="00DC4A4E">
        <w:rPr>
          <w:color w:val="auto"/>
        </w:rPr>
        <w:t>, S.</w:t>
      </w:r>
      <w:r w:rsidR="009A6821">
        <w:rPr>
          <w:color w:val="auto"/>
        </w:rPr>
        <w:t>,</w:t>
      </w:r>
      <w:r w:rsidRPr="00DC4A4E">
        <w:rPr>
          <w:color w:val="auto"/>
        </w:rPr>
        <w:t xml:space="preserve"> &amp; Von </w:t>
      </w:r>
      <w:proofErr w:type="spellStart"/>
      <w:r w:rsidRPr="00DC4A4E">
        <w:rPr>
          <w:color w:val="auto"/>
        </w:rPr>
        <w:t>Wallpach</w:t>
      </w:r>
      <w:proofErr w:type="spellEnd"/>
      <w:r w:rsidRPr="00DC4A4E">
        <w:rPr>
          <w:color w:val="auto"/>
        </w:rPr>
        <w:t xml:space="preserve">, S. (2020), The psychology of consumer ethnocentrism and cosmopolitanism: a five-country study of values, moral foundations, gender identities and consumer orientations. </w:t>
      </w:r>
      <w:r w:rsidRPr="00DC4A4E">
        <w:rPr>
          <w:i/>
          <w:color w:val="auto"/>
        </w:rPr>
        <w:t>International Marketing Review</w:t>
      </w:r>
      <w:r w:rsidRPr="00DC4A4E">
        <w:rPr>
          <w:color w:val="auto"/>
        </w:rPr>
        <w:t xml:space="preserve">, </w:t>
      </w:r>
      <w:r w:rsidRPr="00DC4A4E">
        <w:rPr>
          <w:i/>
          <w:color w:val="auto"/>
        </w:rPr>
        <w:t>37</w:t>
      </w:r>
      <w:r w:rsidRPr="00DC4A4E">
        <w:rPr>
          <w:color w:val="auto"/>
        </w:rPr>
        <w:t xml:space="preserve">(6), 1013-1049. </w:t>
      </w:r>
      <w:hyperlink r:id="rId38" w:history="1">
        <w:r w:rsidR="00BF07B3" w:rsidRPr="00DC4A4E">
          <w:rPr>
            <w:rStyle w:val="Hypertextovodkaz"/>
            <w:color w:val="auto"/>
            <w:u w:val="none"/>
          </w:rPr>
          <w:t>https://doi.org/10.1108/IMR-05-2019-0142</w:t>
        </w:r>
      </w:hyperlink>
    </w:p>
    <w:p w14:paraId="0F75C9A5" w14:textId="5E325863" w:rsidR="00971526" w:rsidRPr="00DC4A4E" w:rsidRDefault="00971526" w:rsidP="008B06BF">
      <w:pPr>
        <w:pStyle w:val="HED-References"/>
        <w:jc w:val="both"/>
        <w:rPr>
          <w:color w:val="auto"/>
        </w:rPr>
      </w:pPr>
      <w:proofErr w:type="spellStart"/>
      <w:r w:rsidRPr="00DC4A4E">
        <w:rPr>
          <w:color w:val="auto"/>
        </w:rPr>
        <w:t>Repanova</w:t>
      </w:r>
      <w:proofErr w:type="spellEnd"/>
      <w:r w:rsidRPr="00DC4A4E">
        <w:rPr>
          <w:color w:val="auto"/>
        </w:rPr>
        <w:t>, T.</w:t>
      </w:r>
      <w:r w:rsidR="00BF07B3" w:rsidRPr="00DC4A4E">
        <w:rPr>
          <w:color w:val="auto"/>
        </w:rPr>
        <w:t xml:space="preserve">, &amp; </w:t>
      </w:r>
      <w:proofErr w:type="spellStart"/>
      <w:r w:rsidR="00BF07B3" w:rsidRPr="00DC4A4E">
        <w:rPr>
          <w:color w:val="auto"/>
        </w:rPr>
        <w:t>Profietova</w:t>
      </w:r>
      <w:proofErr w:type="spellEnd"/>
      <w:r w:rsidR="00BF07B3" w:rsidRPr="00DC4A4E">
        <w:rPr>
          <w:color w:val="auto"/>
        </w:rPr>
        <w:t>, B. (2018).</w:t>
      </w:r>
      <w:r w:rsidRPr="00DC4A4E">
        <w:rPr>
          <w:color w:val="auto"/>
        </w:rPr>
        <w:t xml:space="preserve"> Visitors' Demand </w:t>
      </w:r>
      <w:r w:rsidR="00105B26" w:rsidRPr="00DC4A4E">
        <w:rPr>
          <w:color w:val="auto"/>
        </w:rPr>
        <w:t>for</w:t>
      </w:r>
      <w:r w:rsidRPr="00DC4A4E">
        <w:rPr>
          <w:color w:val="auto"/>
        </w:rPr>
        <w:t xml:space="preserve"> Authentic Souvenirs </w:t>
      </w:r>
      <w:r w:rsidR="00105B26" w:rsidRPr="00DC4A4E">
        <w:rPr>
          <w:color w:val="auto"/>
        </w:rPr>
        <w:t>at</w:t>
      </w:r>
      <w:r w:rsidRPr="00DC4A4E">
        <w:rPr>
          <w:color w:val="auto"/>
        </w:rPr>
        <w:t xml:space="preserve"> Bratislava Castle. </w:t>
      </w:r>
      <w:r w:rsidRPr="00DC4A4E">
        <w:rPr>
          <w:i/>
          <w:color w:val="auto"/>
        </w:rPr>
        <w:t xml:space="preserve">Topical Issues of Tourism: Authenticity in </w:t>
      </w:r>
      <w:r w:rsidR="00BF07B3" w:rsidRPr="00DC4A4E">
        <w:rPr>
          <w:i/>
          <w:color w:val="auto"/>
        </w:rPr>
        <w:t>the</w:t>
      </w:r>
      <w:r w:rsidRPr="00DC4A4E">
        <w:rPr>
          <w:i/>
          <w:color w:val="auto"/>
        </w:rPr>
        <w:t xml:space="preserve"> Context </w:t>
      </w:r>
      <w:r w:rsidR="00105B26" w:rsidRPr="00DC4A4E">
        <w:rPr>
          <w:i/>
          <w:color w:val="auto"/>
        </w:rPr>
        <w:t>of</w:t>
      </w:r>
      <w:r w:rsidRPr="00DC4A4E">
        <w:rPr>
          <w:i/>
          <w:color w:val="auto"/>
        </w:rPr>
        <w:t xml:space="preserve"> Tourism</w:t>
      </w:r>
      <w:r w:rsidRPr="00DC4A4E">
        <w:rPr>
          <w:color w:val="auto"/>
        </w:rPr>
        <w:t xml:space="preserve">. VŠP, </w:t>
      </w:r>
      <w:proofErr w:type="spellStart"/>
      <w:r w:rsidRPr="00DC4A4E">
        <w:rPr>
          <w:color w:val="auto"/>
        </w:rPr>
        <w:t>Jihlava</w:t>
      </w:r>
      <w:proofErr w:type="spellEnd"/>
      <w:r w:rsidR="009A6821">
        <w:rPr>
          <w:color w:val="auto"/>
        </w:rPr>
        <w:t>.</w:t>
      </w:r>
    </w:p>
    <w:p w14:paraId="358B89BF" w14:textId="6D4E4EC0" w:rsidR="00BF07B3" w:rsidRPr="00DC4A4E" w:rsidRDefault="00971526" w:rsidP="008B06BF">
      <w:pPr>
        <w:pStyle w:val="HED-References"/>
        <w:jc w:val="both"/>
        <w:rPr>
          <w:color w:val="auto"/>
        </w:rPr>
      </w:pPr>
      <w:r w:rsidRPr="00DC4A4E">
        <w:rPr>
          <w:color w:val="auto"/>
        </w:rPr>
        <w:t xml:space="preserve">Shaw, S., </w:t>
      </w:r>
      <w:proofErr w:type="spellStart"/>
      <w:r w:rsidRPr="00DC4A4E">
        <w:rPr>
          <w:color w:val="auto"/>
        </w:rPr>
        <w:t>Chovancova</w:t>
      </w:r>
      <w:proofErr w:type="spellEnd"/>
      <w:r w:rsidRPr="00DC4A4E">
        <w:rPr>
          <w:color w:val="auto"/>
        </w:rPr>
        <w:t>, M.</w:t>
      </w:r>
      <w:r w:rsidR="00BF07B3" w:rsidRPr="00DC4A4E">
        <w:rPr>
          <w:color w:val="auto"/>
        </w:rPr>
        <w:t xml:space="preserve">, &amp; </w:t>
      </w:r>
      <w:proofErr w:type="spellStart"/>
      <w:r w:rsidR="00BF07B3" w:rsidRPr="00DC4A4E">
        <w:rPr>
          <w:color w:val="auto"/>
        </w:rPr>
        <w:t>Bejtkovsky</w:t>
      </w:r>
      <w:proofErr w:type="spellEnd"/>
      <w:r w:rsidR="00BF07B3" w:rsidRPr="00DC4A4E">
        <w:rPr>
          <w:color w:val="auto"/>
        </w:rPr>
        <w:t>, J. (2017).</w:t>
      </w:r>
      <w:r w:rsidRPr="00DC4A4E">
        <w:rPr>
          <w:color w:val="auto"/>
        </w:rPr>
        <w:t xml:space="preserve"> Consumer </w:t>
      </w:r>
      <w:proofErr w:type="spellStart"/>
      <w:r w:rsidRPr="00DC4A4E">
        <w:rPr>
          <w:color w:val="auto"/>
        </w:rPr>
        <w:t>Behaviour</w:t>
      </w:r>
      <w:proofErr w:type="spellEnd"/>
      <w:r w:rsidRPr="00DC4A4E">
        <w:rPr>
          <w:color w:val="auto"/>
        </w:rPr>
        <w:t xml:space="preserve"> and Warranty Claim: A Study on Czech Consumers. </w:t>
      </w:r>
      <w:r w:rsidRPr="00DC4A4E">
        <w:rPr>
          <w:i/>
          <w:color w:val="auto"/>
        </w:rPr>
        <w:t>Economics &amp; Sociology</w:t>
      </w:r>
      <w:r w:rsidRPr="00DC4A4E">
        <w:rPr>
          <w:color w:val="auto"/>
        </w:rPr>
        <w:t xml:space="preserve">, </w:t>
      </w:r>
      <w:r w:rsidRPr="00DC4A4E">
        <w:rPr>
          <w:i/>
          <w:color w:val="auto"/>
        </w:rPr>
        <w:t>10</w:t>
      </w:r>
      <w:r w:rsidRPr="00DC4A4E">
        <w:rPr>
          <w:color w:val="auto"/>
        </w:rPr>
        <w:t xml:space="preserve">(3), 90-101. </w:t>
      </w:r>
      <w:hyperlink r:id="rId39" w:history="1">
        <w:r w:rsidR="00BF07B3" w:rsidRPr="00DC4A4E">
          <w:rPr>
            <w:rStyle w:val="Hypertextovodkaz"/>
            <w:color w:val="auto"/>
            <w:u w:val="none"/>
          </w:rPr>
          <w:t>https://doi.org/10.14254/2071-789X.2017/10-3/7</w:t>
        </w:r>
      </w:hyperlink>
    </w:p>
    <w:p w14:paraId="160B2150" w14:textId="7FF5A705" w:rsidR="00971526" w:rsidRPr="00DC4A4E" w:rsidRDefault="00971526" w:rsidP="008B06BF">
      <w:pPr>
        <w:pStyle w:val="HED-References"/>
        <w:jc w:val="both"/>
        <w:rPr>
          <w:color w:val="auto"/>
        </w:rPr>
      </w:pPr>
      <w:r w:rsidRPr="00DC4A4E">
        <w:rPr>
          <w:color w:val="auto"/>
        </w:rPr>
        <w:t xml:space="preserve">Schmidt, D. M., Braun, F., </w:t>
      </w:r>
      <w:proofErr w:type="spellStart"/>
      <w:r w:rsidRPr="00DC4A4E">
        <w:rPr>
          <w:color w:val="auto"/>
        </w:rPr>
        <w:t>Schenkl</w:t>
      </w:r>
      <w:proofErr w:type="spellEnd"/>
      <w:r w:rsidRPr="00DC4A4E">
        <w:rPr>
          <w:color w:val="auto"/>
        </w:rPr>
        <w:t>, S. A.</w:t>
      </w:r>
      <w:r w:rsidR="00BF07B3" w:rsidRPr="00DC4A4E">
        <w:rPr>
          <w:color w:val="auto"/>
        </w:rPr>
        <w:t xml:space="preserve">, &amp; </w:t>
      </w:r>
      <w:proofErr w:type="spellStart"/>
      <w:r w:rsidR="00BF07B3" w:rsidRPr="00DC4A4E">
        <w:rPr>
          <w:color w:val="auto"/>
        </w:rPr>
        <w:t>Mortl</w:t>
      </w:r>
      <w:proofErr w:type="spellEnd"/>
      <w:r w:rsidR="00BF07B3" w:rsidRPr="00DC4A4E">
        <w:rPr>
          <w:color w:val="auto"/>
        </w:rPr>
        <w:t>, M. (2016).</w:t>
      </w:r>
      <w:r w:rsidRPr="00DC4A4E">
        <w:rPr>
          <w:color w:val="auto"/>
        </w:rPr>
        <w:t xml:space="preserve"> Interview study: How can Product-Service Systems increase customer acceptance of innovations? </w:t>
      </w:r>
      <w:proofErr w:type="spellStart"/>
      <w:r w:rsidRPr="00DC4A4E">
        <w:rPr>
          <w:i/>
          <w:color w:val="auto"/>
        </w:rPr>
        <w:t>Cirp</w:t>
      </w:r>
      <w:proofErr w:type="spellEnd"/>
      <w:r w:rsidRPr="00DC4A4E">
        <w:rPr>
          <w:i/>
          <w:color w:val="auto"/>
        </w:rPr>
        <w:t xml:space="preserve"> Journal </w:t>
      </w:r>
      <w:r w:rsidR="00105B26" w:rsidRPr="00DC4A4E">
        <w:rPr>
          <w:i/>
          <w:color w:val="auto"/>
        </w:rPr>
        <w:t>of</w:t>
      </w:r>
      <w:r w:rsidRPr="00DC4A4E">
        <w:rPr>
          <w:i/>
          <w:color w:val="auto"/>
        </w:rPr>
        <w:t xml:space="preserve"> Manufacturing Science </w:t>
      </w:r>
      <w:r w:rsidR="00105B26" w:rsidRPr="00DC4A4E">
        <w:rPr>
          <w:i/>
          <w:color w:val="auto"/>
        </w:rPr>
        <w:t>and</w:t>
      </w:r>
      <w:r w:rsidRPr="00DC4A4E">
        <w:rPr>
          <w:i/>
          <w:color w:val="auto"/>
        </w:rPr>
        <w:t xml:space="preserve"> Technology</w:t>
      </w:r>
      <w:r w:rsidRPr="00DC4A4E">
        <w:rPr>
          <w:color w:val="auto"/>
        </w:rPr>
        <w:t xml:space="preserve">, </w:t>
      </w:r>
      <w:r w:rsidRPr="00DC4A4E">
        <w:rPr>
          <w:i/>
          <w:color w:val="auto"/>
        </w:rPr>
        <w:t>15</w:t>
      </w:r>
      <w:r w:rsidRPr="00DC4A4E">
        <w:rPr>
          <w:color w:val="auto"/>
        </w:rPr>
        <w:t xml:space="preserve">, 82-93. </w:t>
      </w:r>
      <w:hyperlink r:id="rId40" w:history="1">
        <w:r w:rsidR="00BF07B3" w:rsidRPr="00DC4A4E">
          <w:rPr>
            <w:rStyle w:val="Hypertextovodkaz"/>
            <w:color w:val="auto"/>
            <w:u w:val="none"/>
          </w:rPr>
          <w:t>https://doi.org/10.1016/j.cirpj.2016.04.002</w:t>
        </w:r>
      </w:hyperlink>
    </w:p>
    <w:p w14:paraId="1B690BF3" w14:textId="0C0B0E45" w:rsidR="00A22A91" w:rsidRPr="00DC4A4E" w:rsidRDefault="00A22A91" w:rsidP="008B06BF">
      <w:pPr>
        <w:pStyle w:val="HED-References"/>
        <w:jc w:val="both"/>
      </w:pPr>
      <w:r w:rsidRPr="00DC4A4E">
        <w:rPr>
          <w:color w:val="auto"/>
        </w:rPr>
        <w:t>Statista. (2019</w:t>
      </w:r>
      <w:r w:rsidR="00A621A7" w:rsidRPr="00DC4A4E">
        <w:rPr>
          <w:color w:val="auto"/>
        </w:rPr>
        <w:t>, December</w:t>
      </w:r>
      <w:r w:rsidRPr="00DC4A4E">
        <w:rPr>
          <w:color w:val="auto"/>
        </w:rPr>
        <w:t xml:space="preserve">). </w:t>
      </w:r>
      <w:r w:rsidRPr="00DC4A4E">
        <w:rPr>
          <w:i/>
          <w:color w:val="auto"/>
        </w:rPr>
        <w:t>Share of sports fans consuming sports content on social media worldwide as of December 2019, by age</w:t>
      </w:r>
      <w:r w:rsidRPr="00DC4A4E">
        <w:rPr>
          <w:color w:val="auto"/>
        </w:rPr>
        <w:t>.</w:t>
      </w:r>
      <w:r w:rsidR="00A621A7" w:rsidRPr="00DC4A4E">
        <w:rPr>
          <w:color w:val="auto"/>
        </w:rPr>
        <w:t xml:space="preserve"> </w:t>
      </w:r>
      <w:hyperlink r:id="rId41" w:history="1">
        <w:r w:rsidR="00A621A7" w:rsidRPr="00DC4A4E">
          <w:rPr>
            <w:rStyle w:val="Hypertextovodkaz"/>
            <w:color w:val="auto"/>
            <w:u w:val="none"/>
          </w:rPr>
          <w:t>https://www.statista.com/statistics/1100571/sports-content-social-media/</w:t>
        </w:r>
      </w:hyperlink>
    </w:p>
    <w:p w14:paraId="4410E4C2" w14:textId="27FC1E7A" w:rsidR="00971526" w:rsidRPr="00DC4A4E" w:rsidRDefault="00971526" w:rsidP="008B06BF">
      <w:pPr>
        <w:pStyle w:val="HED-References"/>
        <w:jc w:val="both"/>
        <w:rPr>
          <w:color w:val="auto"/>
        </w:rPr>
      </w:pPr>
      <w:r w:rsidRPr="00DC4A4E">
        <w:rPr>
          <w:color w:val="auto"/>
        </w:rPr>
        <w:t>Sudbury-Riley, L., Hofmeister-Tóth, A.</w:t>
      </w:r>
      <w:r w:rsidR="00BF07B3" w:rsidRPr="00DC4A4E">
        <w:rPr>
          <w:color w:val="auto"/>
        </w:rPr>
        <w:t xml:space="preserve">, &amp; </w:t>
      </w:r>
      <w:proofErr w:type="spellStart"/>
      <w:r w:rsidR="00BF07B3" w:rsidRPr="00DC4A4E">
        <w:rPr>
          <w:color w:val="auto"/>
        </w:rPr>
        <w:t>Kohlbacher</w:t>
      </w:r>
      <w:proofErr w:type="spellEnd"/>
      <w:r w:rsidR="00BF07B3" w:rsidRPr="00DC4A4E">
        <w:rPr>
          <w:color w:val="auto"/>
        </w:rPr>
        <w:t>, F. (2014).</w:t>
      </w:r>
      <w:r w:rsidRPr="00DC4A4E">
        <w:rPr>
          <w:color w:val="auto"/>
        </w:rPr>
        <w:t xml:space="preserve"> A cross-national study of the ecological worldview of senior consumers. </w:t>
      </w:r>
      <w:r w:rsidRPr="009A50A9">
        <w:rPr>
          <w:i/>
          <w:color w:val="auto"/>
        </w:rPr>
        <w:t>International</w:t>
      </w:r>
      <w:r w:rsidRPr="00DC4A4E">
        <w:rPr>
          <w:color w:val="auto"/>
        </w:rPr>
        <w:t xml:space="preserve"> </w:t>
      </w:r>
      <w:r w:rsidRPr="00DC4A4E">
        <w:rPr>
          <w:i/>
          <w:color w:val="auto"/>
        </w:rPr>
        <w:t xml:space="preserve">Journal </w:t>
      </w:r>
      <w:r w:rsidR="00105B26" w:rsidRPr="00DC4A4E">
        <w:rPr>
          <w:i/>
          <w:color w:val="auto"/>
        </w:rPr>
        <w:t>of</w:t>
      </w:r>
      <w:r w:rsidRPr="00DC4A4E">
        <w:rPr>
          <w:i/>
          <w:color w:val="auto"/>
        </w:rPr>
        <w:t xml:space="preserve"> Consumer Studies</w:t>
      </w:r>
      <w:r w:rsidRPr="00DC4A4E">
        <w:rPr>
          <w:color w:val="auto"/>
        </w:rPr>
        <w:t xml:space="preserve">, </w:t>
      </w:r>
      <w:r w:rsidRPr="00DC4A4E">
        <w:rPr>
          <w:i/>
          <w:color w:val="auto"/>
        </w:rPr>
        <w:t>38</w:t>
      </w:r>
      <w:r w:rsidRPr="00DC4A4E">
        <w:rPr>
          <w:color w:val="auto"/>
        </w:rPr>
        <w:t xml:space="preserve">(5), 500-509. </w:t>
      </w:r>
      <w:hyperlink r:id="rId42" w:history="1">
        <w:r w:rsidR="00BF07B3" w:rsidRPr="00DC4A4E">
          <w:rPr>
            <w:rStyle w:val="Hypertextovodkaz"/>
            <w:color w:val="auto"/>
            <w:u w:val="none"/>
          </w:rPr>
          <w:t>https://doi.org/10.1111/ijcs.12126</w:t>
        </w:r>
      </w:hyperlink>
    </w:p>
    <w:p w14:paraId="16FA55FF" w14:textId="7EEE0FC9" w:rsidR="00FC4883" w:rsidRPr="00DC4A4E" w:rsidRDefault="00FC4883" w:rsidP="00FC4883">
      <w:pPr>
        <w:pStyle w:val="HED-References"/>
        <w:rPr>
          <w:color w:val="auto"/>
        </w:rPr>
      </w:pPr>
      <w:proofErr w:type="spellStart"/>
      <w:r w:rsidRPr="00DC4A4E">
        <w:rPr>
          <w:color w:val="auto"/>
        </w:rPr>
        <w:t>Tiimub</w:t>
      </w:r>
      <w:proofErr w:type="spellEnd"/>
      <w:r w:rsidRPr="00DC4A4E">
        <w:rPr>
          <w:color w:val="auto"/>
        </w:rPr>
        <w:t xml:space="preserve">, B. M., </w:t>
      </w:r>
      <w:proofErr w:type="spellStart"/>
      <w:r w:rsidRPr="00DC4A4E">
        <w:rPr>
          <w:color w:val="auto"/>
        </w:rPr>
        <w:t>Baani</w:t>
      </w:r>
      <w:proofErr w:type="spellEnd"/>
      <w:r w:rsidRPr="00DC4A4E">
        <w:rPr>
          <w:color w:val="auto"/>
        </w:rPr>
        <w:t xml:space="preserve">, I., </w:t>
      </w:r>
      <w:proofErr w:type="spellStart"/>
      <w:r w:rsidRPr="00DC4A4E">
        <w:rPr>
          <w:color w:val="auto"/>
        </w:rPr>
        <w:t>Obiri-Danso</w:t>
      </w:r>
      <w:proofErr w:type="spellEnd"/>
      <w:r w:rsidRPr="00DC4A4E">
        <w:rPr>
          <w:color w:val="auto"/>
        </w:rPr>
        <w:t>, K., Abdul-</w:t>
      </w:r>
      <w:proofErr w:type="spellStart"/>
      <w:r w:rsidRPr="00DC4A4E">
        <w:rPr>
          <w:color w:val="auto"/>
        </w:rPr>
        <w:t>Rahaman</w:t>
      </w:r>
      <w:proofErr w:type="spellEnd"/>
      <w:r w:rsidRPr="00DC4A4E">
        <w:rPr>
          <w:color w:val="auto"/>
        </w:rPr>
        <w:t xml:space="preserve">, I., </w:t>
      </w:r>
      <w:proofErr w:type="spellStart"/>
      <w:r w:rsidRPr="00DC4A4E">
        <w:rPr>
          <w:color w:val="auto"/>
        </w:rPr>
        <w:t>Tiimob</w:t>
      </w:r>
      <w:proofErr w:type="spellEnd"/>
      <w:r w:rsidRPr="00DC4A4E">
        <w:rPr>
          <w:color w:val="auto"/>
        </w:rPr>
        <w:t>, E. N., Bans-</w:t>
      </w:r>
      <w:proofErr w:type="spellStart"/>
      <w:r w:rsidRPr="00DC4A4E">
        <w:rPr>
          <w:color w:val="auto"/>
        </w:rPr>
        <w:t>Akutey</w:t>
      </w:r>
      <w:proofErr w:type="spellEnd"/>
      <w:r w:rsidRPr="00DC4A4E">
        <w:rPr>
          <w:color w:val="auto"/>
        </w:rPr>
        <w:t xml:space="preserve">, A., &amp; </w:t>
      </w:r>
      <w:proofErr w:type="spellStart"/>
      <w:r w:rsidRPr="00DC4A4E">
        <w:rPr>
          <w:color w:val="auto"/>
        </w:rPr>
        <w:t>Agyenta</w:t>
      </w:r>
      <w:proofErr w:type="spellEnd"/>
      <w:r w:rsidRPr="00DC4A4E">
        <w:rPr>
          <w:color w:val="auto"/>
        </w:rPr>
        <w:t>, J. J.</w:t>
      </w:r>
      <w:r w:rsidR="00126CDE">
        <w:rPr>
          <w:color w:val="auto"/>
        </w:rPr>
        <w:t xml:space="preserve"> (2021).</w:t>
      </w:r>
      <w:r w:rsidRPr="00DC4A4E">
        <w:rPr>
          <w:color w:val="auto"/>
        </w:rPr>
        <w:t xml:space="preserve"> An Exploration of the Tourism Values of Northern Ghana. A Mini Review of Some Sacred Groves and Other Unique Sites. </w:t>
      </w:r>
      <w:r w:rsidRPr="00DC4A4E">
        <w:rPr>
          <w:i/>
          <w:color w:val="auto"/>
        </w:rPr>
        <w:t>Journal of Tourism &amp; Sports Management</w:t>
      </w:r>
      <w:r w:rsidRPr="00DC4A4E">
        <w:rPr>
          <w:color w:val="auto"/>
        </w:rPr>
        <w:t xml:space="preserve">, </w:t>
      </w:r>
      <w:r w:rsidRPr="00DC4A4E">
        <w:rPr>
          <w:i/>
          <w:color w:val="auto"/>
        </w:rPr>
        <w:t>4</w:t>
      </w:r>
      <w:r w:rsidRPr="00DC4A4E">
        <w:rPr>
          <w:color w:val="auto"/>
        </w:rPr>
        <w:t>(1), 568-586.</w:t>
      </w:r>
    </w:p>
    <w:p w14:paraId="5724CD47" w14:textId="0EDC2F82" w:rsidR="00971526" w:rsidRPr="00DC4A4E" w:rsidRDefault="00BF07B3" w:rsidP="008B06BF">
      <w:pPr>
        <w:pStyle w:val="HED-References"/>
        <w:jc w:val="both"/>
        <w:rPr>
          <w:color w:val="auto"/>
        </w:rPr>
      </w:pPr>
      <w:r w:rsidRPr="00DC4A4E">
        <w:rPr>
          <w:color w:val="auto"/>
        </w:rPr>
        <w:t>Williams, A. (2015).</w:t>
      </w:r>
      <w:r w:rsidR="00971526" w:rsidRPr="00DC4A4E">
        <w:rPr>
          <w:color w:val="auto"/>
        </w:rPr>
        <w:t xml:space="preserve"> Move Over, </w:t>
      </w:r>
      <w:proofErr w:type="spellStart"/>
      <w:r w:rsidR="00971526" w:rsidRPr="00DC4A4E">
        <w:rPr>
          <w:color w:val="auto"/>
        </w:rPr>
        <w:t>Millenials</w:t>
      </w:r>
      <w:proofErr w:type="spellEnd"/>
      <w:r w:rsidR="00971526" w:rsidRPr="00DC4A4E">
        <w:rPr>
          <w:color w:val="auto"/>
        </w:rPr>
        <w:t xml:space="preserve">, Here Comes Generation Z. </w:t>
      </w:r>
      <w:r w:rsidR="00971526" w:rsidRPr="00DC4A4E">
        <w:rPr>
          <w:i/>
          <w:color w:val="auto"/>
        </w:rPr>
        <w:t>The New York Times</w:t>
      </w:r>
      <w:r w:rsidR="00971526" w:rsidRPr="00DC4A4E">
        <w:rPr>
          <w:color w:val="auto"/>
        </w:rPr>
        <w:t xml:space="preserve">, </w:t>
      </w:r>
      <w:r w:rsidR="00971526" w:rsidRPr="00DC4A4E">
        <w:rPr>
          <w:i/>
          <w:color w:val="auto"/>
        </w:rPr>
        <w:t>165</w:t>
      </w:r>
      <w:r w:rsidR="00971526" w:rsidRPr="00DC4A4E">
        <w:rPr>
          <w:color w:val="auto"/>
        </w:rPr>
        <w:t>(56), 16-17.</w:t>
      </w:r>
    </w:p>
    <w:p w14:paraId="027A0A8A" w14:textId="3CA2DA84" w:rsidR="00672FC1" w:rsidRDefault="00971526" w:rsidP="00DE4A4B">
      <w:pPr>
        <w:pStyle w:val="HED-References"/>
        <w:jc w:val="both"/>
        <w:rPr>
          <w:color w:val="auto"/>
        </w:rPr>
      </w:pPr>
      <w:proofErr w:type="spellStart"/>
      <w:r w:rsidRPr="00DC4A4E">
        <w:rPr>
          <w:color w:val="auto"/>
        </w:rPr>
        <w:t>Zhitomirsky-Geffet</w:t>
      </w:r>
      <w:proofErr w:type="spellEnd"/>
      <w:r w:rsidRPr="00DC4A4E">
        <w:rPr>
          <w:color w:val="auto"/>
        </w:rPr>
        <w:t>, M.</w:t>
      </w:r>
      <w:r w:rsidR="00BF07B3" w:rsidRPr="00DC4A4E">
        <w:rPr>
          <w:color w:val="auto"/>
        </w:rPr>
        <w:t xml:space="preserve">, &amp; </w:t>
      </w:r>
      <w:proofErr w:type="spellStart"/>
      <w:r w:rsidR="00BF07B3" w:rsidRPr="00DC4A4E">
        <w:rPr>
          <w:color w:val="auto"/>
        </w:rPr>
        <w:t>Blau</w:t>
      </w:r>
      <w:proofErr w:type="spellEnd"/>
      <w:r w:rsidR="00BF07B3" w:rsidRPr="00DC4A4E">
        <w:rPr>
          <w:color w:val="auto"/>
        </w:rPr>
        <w:t>, M. (2016).</w:t>
      </w:r>
      <w:r w:rsidRPr="00DC4A4E">
        <w:rPr>
          <w:color w:val="auto"/>
        </w:rPr>
        <w:t xml:space="preserve"> Cross-generational analysis of predictive factors of addictive behavior in smartphone usage. </w:t>
      </w:r>
      <w:r w:rsidRPr="00DC4A4E">
        <w:rPr>
          <w:i/>
          <w:color w:val="auto"/>
        </w:rPr>
        <w:t>Computers in Human Behavior</w:t>
      </w:r>
      <w:r w:rsidRPr="00DC4A4E">
        <w:rPr>
          <w:color w:val="auto"/>
        </w:rPr>
        <w:t xml:space="preserve">, </w:t>
      </w:r>
      <w:r w:rsidRPr="00DC4A4E">
        <w:rPr>
          <w:i/>
          <w:color w:val="auto"/>
        </w:rPr>
        <w:t>64</w:t>
      </w:r>
      <w:r w:rsidRPr="00DC4A4E">
        <w:rPr>
          <w:color w:val="auto"/>
        </w:rPr>
        <w:t xml:space="preserve">, 682-693. </w:t>
      </w:r>
      <w:hyperlink r:id="rId43" w:history="1">
        <w:r w:rsidR="00BF07B3" w:rsidRPr="00DC4A4E">
          <w:rPr>
            <w:rStyle w:val="Hypertextovodkaz"/>
            <w:color w:val="auto"/>
            <w:u w:val="none"/>
          </w:rPr>
          <w:t>https://doi.org/10.1016/j.chb.2016.07.061</w:t>
        </w:r>
      </w:hyperlink>
    </w:p>
    <w:sectPr w:rsidR="00672FC1" w:rsidSect="002B585E">
      <w:pgSz w:w="11906" w:h="16838" w:code="9"/>
      <w:pgMar w:top="1417" w:right="1531" w:bottom="1077" w:left="1418"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25E95" w14:textId="77777777" w:rsidR="00EB7632" w:rsidRDefault="00EB7632">
      <w:pPr>
        <w:spacing w:line="240" w:lineRule="auto"/>
      </w:pPr>
      <w:r>
        <w:separator/>
      </w:r>
    </w:p>
  </w:endnote>
  <w:endnote w:type="continuationSeparator" w:id="0">
    <w:p w14:paraId="3C21F237" w14:textId="77777777" w:rsidR="00EB7632" w:rsidRDefault="00EB7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9AEB8" w14:textId="77777777" w:rsidR="00EB7632" w:rsidRDefault="00EB7632">
      <w:pPr>
        <w:spacing w:line="240" w:lineRule="auto"/>
      </w:pPr>
      <w:r>
        <w:separator/>
      </w:r>
    </w:p>
  </w:footnote>
  <w:footnote w:type="continuationSeparator" w:id="0">
    <w:p w14:paraId="57DB66CC" w14:textId="77777777" w:rsidR="00EB7632" w:rsidRDefault="00EB76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C5E89"/>
    <w:multiLevelType w:val="hybridMultilevel"/>
    <w:tmpl w:val="E9CE2C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CB1EE6A2"/>
    <w:lvl w:ilvl="0" w:tplc="CDCEE7DA">
      <w:start w:val="1"/>
      <w:numFmt w:val="decimal"/>
      <w:pStyle w:val="HED-itemlist"/>
      <w:lvlText w:val="%1."/>
      <w:lvlJc w:val="left"/>
      <w:pPr>
        <w:ind w:left="3949" w:hanging="360"/>
      </w:pPr>
    </w:lvl>
    <w:lvl w:ilvl="1" w:tplc="04050017">
      <w:start w:val="1"/>
      <w:numFmt w:val="lowerLetter"/>
      <w:lvlText w:val="%2)"/>
      <w:lvlJc w:val="left"/>
      <w:pPr>
        <w:ind w:left="4669" w:hanging="360"/>
      </w:pPr>
    </w:lvl>
    <w:lvl w:ilvl="2" w:tplc="0807001B" w:tentative="1">
      <w:start w:val="1"/>
      <w:numFmt w:val="lowerRoman"/>
      <w:lvlText w:val="%3."/>
      <w:lvlJc w:val="right"/>
      <w:pPr>
        <w:ind w:left="5389" w:hanging="180"/>
      </w:pPr>
    </w:lvl>
    <w:lvl w:ilvl="3" w:tplc="0807000F" w:tentative="1">
      <w:start w:val="1"/>
      <w:numFmt w:val="decimal"/>
      <w:lvlText w:val="%4."/>
      <w:lvlJc w:val="left"/>
      <w:pPr>
        <w:ind w:left="6109" w:hanging="360"/>
      </w:pPr>
    </w:lvl>
    <w:lvl w:ilvl="4" w:tplc="08070019" w:tentative="1">
      <w:start w:val="1"/>
      <w:numFmt w:val="lowerLetter"/>
      <w:lvlText w:val="%5."/>
      <w:lvlJc w:val="left"/>
      <w:pPr>
        <w:ind w:left="6829" w:hanging="360"/>
      </w:pPr>
    </w:lvl>
    <w:lvl w:ilvl="5" w:tplc="0807001B" w:tentative="1">
      <w:start w:val="1"/>
      <w:numFmt w:val="lowerRoman"/>
      <w:lvlText w:val="%6."/>
      <w:lvlJc w:val="right"/>
      <w:pPr>
        <w:ind w:left="7549" w:hanging="180"/>
      </w:pPr>
    </w:lvl>
    <w:lvl w:ilvl="6" w:tplc="0807000F" w:tentative="1">
      <w:start w:val="1"/>
      <w:numFmt w:val="decimal"/>
      <w:lvlText w:val="%7."/>
      <w:lvlJc w:val="left"/>
      <w:pPr>
        <w:ind w:left="8269" w:hanging="360"/>
      </w:pPr>
    </w:lvl>
    <w:lvl w:ilvl="7" w:tplc="08070019" w:tentative="1">
      <w:start w:val="1"/>
      <w:numFmt w:val="lowerLetter"/>
      <w:lvlText w:val="%8."/>
      <w:lvlJc w:val="left"/>
      <w:pPr>
        <w:ind w:left="8989" w:hanging="360"/>
      </w:pPr>
    </w:lvl>
    <w:lvl w:ilvl="8" w:tplc="0807001B" w:tentative="1">
      <w:start w:val="1"/>
      <w:numFmt w:val="lowerRoman"/>
      <w:lvlText w:val="%9."/>
      <w:lvlJc w:val="right"/>
      <w:pPr>
        <w:ind w:left="9709" w:hanging="180"/>
      </w:pPr>
    </w:lvl>
  </w:abstractNum>
  <w:abstractNum w:abstractNumId="3" w15:restartNumberingAfterBreak="0">
    <w:nsid w:val="369A6535"/>
    <w:multiLevelType w:val="hybridMultilevel"/>
    <w:tmpl w:val="3CB68362"/>
    <w:lvl w:ilvl="0" w:tplc="B2367048">
      <w:start w:val="1"/>
      <w:numFmt w:val="bullet"/>
      <w:pStyle w:val="HED-bulletlist"/>
      <w:lvlText w:val=""/>
      <w:lvlJc w:val="left"/>
      <w:pPr>
        <w:ind w:left="3109" w:hanging="360"/>
      </w:pPr>
      <w:rPr>
        <w:rFonts w:ascii="Symbol" w:hAnsi="Symbol" w:hint="default"/>
      </w:rPr>
    </w:lvl>
    <w:lvl w:ilvl="1" w:tplc="08070003">
      <w:start w:val="1"/>
      <w:numFmt w:val="bullet"/>
      <w:lvlText w:val="o"/>
      <w:lvlJc w:val="left"/>
      <w:pPr>
        <w:ind w:left="3829" w:hanging="360"/>
      </w:pPr>
      <w:rPr>
        <w:rFonts w:ascii="Courier New" w:hAnsi="Courier New" w:cs="Courier New" w:hint="default"/>
      </w:rPr>
    </w:lvl>
    <w:lvl w:ilvl="2" w:tplc="08070005">
      <w:start w:val="1"/>
      <w:numFmt w:val="bullet"/>
      <w:lvlText w:val=""/>
      <w:lvlJc w:val="left"/>
      <w:pPr>
        <w:ind w:left="4549" w:hanging="360"/>
      </w:pPr>
      <w:rPr>
        <w:rFonts w:ascii="Wingdings" w:hAnsi="Wingdings" w:hint="default"/>
      </w:rPr>
    </w:lvl>
    <w:lvl w:ilvl="3" w:tplc="08070001" w:tentative="1">
      <w:start w:val="1"/>
      <w:numFmt w:val="bullet"/>
      <w:lvlText w:val=""/>
      <w:lvlJc w:val="left"/>
      <w:pPr>
        <w:ind w:left="5269" w:hanging="360"/>
      </w:pPr>
      <w:rPr>
        <w:rFonts w:ascii="Symbol" w:hAnsi="Symbol" w:hint="default"/>
      </w:rPr>
    </w:lvl>
    <w:lvl w:ilvl="4" w:tplc="08070003" w:tentative="1">
      <w:start w:val="1"/>
      <w:numFmt w:val="bullet"/>
      <w:lvlText w:val="o"/>
      <w:lvlJc w:val="left"/>
      <w:pPr>
        <w:ind w:left="5989" w:hanging="360"/>
      </w:pPr>
      <w:rPr>
        <w:rFonts w:ascii="Courier New" w:hAnsi="Courier New" w:cs="Courier New" w:hint="default"/>
      </w:rPr>
    </w:lvl>
    <w:lvl w:ilvl="5" w:tplc="08070005" w:tentative="1">
      <w:start w:val="1"/>
      <w:numFmt w:val="bullet"/>
      <w:lvlText w:val=""/>
      <w:lvlJc w:val="left"/>
      <w:pPr>
        <w:ind w:left="6709" w:hanging="360"/>
      </w:pPr>
      <w:rPr>
        <w:rFonts w:ascii="Wingdings" w:hAnsi="Wingdings" w:hint="default"/>
      </w:rPr>
    </w:lvl>
    <w:lvl w:ilvl="6" w:tplc="08070001" w:tentative="1">
      <w:start w:val="1"/>
      <w:numFmt w:val="bullet"/>
      <w:lvlText w:val=""/>
      <w:lvlJc w:val="left"/>
      <w:pPr>
        <w:ind w:left="7429" w:hanging="360"/>
      </w:pPr>
      <w:rPr>
        <w:rFonts w:ascii="Symbol" w:hAnsi="Symbol" w:hint="default"/>
      </w:rPr>
    </w:lvl>
    <w:lvl w:ilvl="7" w:tplc="08070003" w:tentative="1">
      <w:start w:val="1"/>
      <w:numFmt w:val="bullet"/>
      <w:lvlText w:val="o"/>
      <w:lvlJc w:val="left"/>
      <w:pPr>
        <w:ind w:left="8149" w:hanging="360"/>
      </w:pPr>
      <w:rPr>
        <w:rFonts w:ascii="Courier New" w:hAnsi="Courier New" w:cs="Courier New" w:hint="default"/>
      </w:rPr>
    </w:lvl>
    <w:lvl w:ilvl="8" w:tplc="08070005" w:tentative="1">
      <w:start w:val="1"/>
      <w:numFmt w:val="bullet"/>
      <w:lvlText w:val=""/>
      <w:lvlJc w:val="left"/>
      <w:pPr>
        <w:ind w:left="8869" w:hanging="360"/>
      </w:pPr>
      <w:rPr>
        <w:rFonts w:ascii="Wingdings" w:hAnsi="Wingdings" w:hint="default"/>
      </w:rPr>
    </w:lvl>
  </w:abstractNum>
  <w:num w:numId="1">
    <w:abstractNumId w:val="2"/>
  </w:num>
  <w:num w:numId="2">
    <w:abstractNumId w:val="3"/>
  </w:num>
  <w:num w:numId="3">
    <w:abstractNumId w:val="1"/>
  </w:num>
  <w:num w:numId="4">
    <w:abstractNumId w:val="3"/>
  </w:num>
  <w:num w:numId="5">
    <w:abstractNumId w:val="3"/>
  </w:num>
  <w:num w:numId="6">
    <w:abstractNumId w:val="3"/>
  </w:num>
  <w:num w:numId="7">
    <w:abstractNumId w:val="3"/>
  </w:num>
  <w:num w:numId="8">
    <w:abstractNumId w:val="2"/>
  </w:num>
  <w:num w:numId="9">
    <w:abstractNumId w:val="3"/>
  </w:num>
  <w:num w:numId="10">
    <w:abstractNumId w:val="3"/>
  </w:num>
  <w:num w:numId="11">
    <w:abstractNumId w:val="3"/>
  </w:num>
  <w:num w:numId="12">
    <w:abstractNumId w:val="3"/>
  </w:num>
  <w:num w:numId="13">
    <w:abstractNumId w:val="3"/>
  </w:num>
  <w:num w:numId="14">
    <w:abstractNumId w:val="0"/>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SortMethod w:val="0000"/>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NTUysbQwMze1NDVV0lEKTi0uzszPAykwrgUANlDDsCwAAAA="/>
  </w:docVars>
  <w:rsids>
    <w:rsidRoot w:val="00102BB1"/>
    <w:rsid w:val="0001174F"/>
    <w:rsid w:val="000166C9"/>
    <w:rsid w:val="00017845"/>
    <w:rsid w:val="00024BD7"/>
    <w:rsid w:val="00024C27"/>
    <w:rsid w:val="00030482"/>
    <w:rsid w:val="00033EBA"/>
    <w:rsid w:val="0003428E"/>
    <w:rsid w:val="00034DBD"/>
    <w:rsid w:val="00037D2A"/>
    <w:rsid w:val="00055A3C"/>
    <w:rsid w:val="000674DA"/>
    <w:rsid w:val="00070926"/>
    <w:rsid w:val="00073885"/>
    <w:rsid w:val="00077001"/>
    <w:rsid w:val="00077F15"/>
    <w:rsid w:val="000830AF"/>
    <w:rsid w:val="00084100"/>
    <w:rsid w:val="00085739"/>
    <w:rsid w:val="0008739D"/>
    <w:rsid w:val="00087521"/>
    <w:rsid w:val="000A78AF"/>
    <w:rsid w:val="000B185E"/>
    <w:rsid w:val="000C2984"/>
    <w:rsid w:val="000D52B4"/>
    <w:rsid w:val="000E4F3C"/>
    <w:rsid w:val="000E79FB"/>
    <w:rsid w:val="000F19D0"/>
    <w:rsid w:val="00101D43"/>
    <w:rsid w:val="00102BB1"/>
    <w:rsid w:val="00105B26"/>
    <w:rsid w:val="001137D0"/>
    <w:rsid w:val="00124408"/>
    <w:rsid w:val="00126CDE"/>
    <w:rsid w:val="00131425"/>
    <w:rsid w:val="0013148D"/>
    <w:rsid w:val="0014600E"/>
    <w:rsid w:val="0015348A"/>
    <w:rsid w:val="001751C3"/>
    <w:rsid w:val="00176693"/>
    <w:rsid w:val="00184034"/>
    <w:rsid w:val="001E2AEB"/>
    <w:rsid w:val="001F78A6"/>
    <w:rsid w:val="001F7968"/>
    <w:rsid w:val="00203042"/>
    <w:rsid w:val="002169C2"/>
    <w:rsid w:val="00221215"/>
    <w:rsid w:val="00221DA9"/>
    <w:rsid w:val="00224E8C"/>
    <w:rsid w:val="00226150"/>
    <w:rsid w:val="00226199"/>
    <w:rsid w:val="00235E47"/>
    <w:rsid w:val="00236A29"/>
    <w:rsid w:val="002449A3"/>
    <w:rsid w:val="00251062"/>
    <w:rsid w:val="00251E73"/>
    <w:rsid w:val="00273BF8"/>
    <w:rsid w:val="00275065"/>
    <w:rsid w:val="00283F5A"/>
    <w:rsid w:val="00284872"/>
    <w:rsid w:val="00291D2D"/>
    <w:rsid w:val="00293AEE"/>
    <w:rsid w:val="002A19CF"/>
    <w:rsid w:val="002A56B2"/>
    <w:rsid w:val="002B585E"/>
    <w:rsid w:val="00304DED"/>
    <w:rsid w:val="00324418"/>
    <w:rsid w:val="00326141"/>
    <w:rsid w:val="003305E2"/>
    <w:rsid w:val="003325F5"/>
    <w:rsid w:val="00347863"/>
    <w:rsid w:val="0035090A"/>
    <w:rsid w:val="00356913"/>
    <w:rsid w:val="00360235"/>
    <w:rsid w:val="003700F3"/>
    <w:rsid w:val="00375D80"/>
    <w:rsid w:val="0038121B"/>
    <w:rsid w:val="00390341"/>
    <w:rsid w:val="003A0376"/>
    <w:rsid w:val="003A6211"/>
    <w:rsid w:val="003B5371"/>
    <w:rsid w:val="003B77E2"/>
    <w:rsid w:val="003D5152"/>
    <w:rsid w:val="003D5B69"/>
    <w:rsid w:val="003E094A"/>
    <w:rsid w:val="003E1CB0"/>
    <w:rsid w:val="003F4CA8"/>
    <w:rsid w:val="00401D30"/>
    <w:rsid w:val="004219C0"/>
    <w:rsid w:val="00433A51"/>
    <w:rsid w:val="0043489D"/>
    <w:rsid w:val="0043491D"/>
    <w:rsid w:val="00435EAF"/>
    <w:rsid w:val="004417E8"/>
    <w:rsid w:val="00441E69"/>
    <w:rsid w:val="004451DA"/>
    <w:rsid w:val="00447ECA"/>
    <w:rsid w:val="00460223"/>
    <w:rsid w:val="00460908"/>
    <w:rsid w:val="00463D9C"/>
    <w:rsid w:val="004705F3"/>
    <w:rsid w:val="004711DD"/>
    <w:rsid w:val="004712D4"/>
    <w:rsid w:val="00484194"/>
    <w:rsid w:val="004861EB"/>
    <w:rsid w:val="004900FE"/>
    <w:rsid w:val="00494A31"/>
    <w:rsid w:val="004B7319"/>
    <w:rsid w:val="004C2DAB"/>
    <w:rsid w:val="004E4A0F"/>
    <w:rsid w:val="004E4F54"/>
    <w:rsid w:val="004E6229"/>
    <w:rsid w:val="004F4C27"/>
    <w:rsid w:val="00505736"/>
    <w:rsid w:val="00516F37"/>
    <w:rsid w:val="00520B7D"/>
    <w:rsid w:val="00522914"/>
    <w:rsid w:val="00524477"/>
    <w:rsid w:val="00551D89"/>
    <w:rsid w:val="00553BD6"/>
    <w:rsid w:val="00556A2B"/>
    <w:rsid w:val="00562507"/>
    <w:rsid w:val="00584A4C"/>
    <w:rsid w:val="00584B67"/>
    <w:rsid w:val="00597E05"/>
    <w:rsid w:val="005A1AFA"/>
    <w:rsid w:val="005B0BA1"/>
    <w:rsid w:val="005B0D0F"/>
    <w:rsid w:val="005C4966"/>
    <w:rsid w:val="005C55F1"/>
    <w:rsid w:val="005C6338"/>
    <w:rsid w:val="005D1739"/>
    <w:rsid w:val="005D5BCD"/>
    <w:rsid w:val="005E2377"/>
    <w:rsid w:val="005E613C"/>
    <w:rsid w:val="005E66DC"/>
    <w:rsid w:val="005E7B38"/>
    <w:rsid w:val="005F7AE5"/>
    <w:rsid w:val="005F7DD5"/>
    <w:rsid w:val="00600B1A"/>
    <w:rsid w:val="0060331D"/>
    <w:rsid w:val="00611E87"/>
    <w:rsid w:val="00616083"/>
    <w:rsid w:val="0062223B"/>
    <w:rsid w:val="0064386E"/>
    <w:rsid w:val="00656BF4"/>
    <w:rsid w:val="00672FC1"/>
    <w:rsid w:val="00675026"/>
    <w:rsid w:val="0068652B"/>
    <w:rsid w:val="00692393"/>
    <w:rsid w:val="006A427D"/>
    <w:rsid w:val="006B4222"/>
    <w:rsid w:val="006C0D9B"/>
    <w:rsid w:val="006C4E43"/>
    <w:rsid w:val="006E7170"/>
    <w:rsid w:val="006F389D"/>
    <w:rsid w:val="00700160"/>
    <w:rsid w:val="007029D8"/>
    <w:rsid w:val="00706422"/>
    <w:rsid w:val="00710501"/>
    <w:rsid w:val="007249DA"/>
    <w:rsid w:val="0072689B"/>
    <w:rsid w:val="00745526"/>
    <w:rsid w:val="00751B4A"/>
    <w:rsid w:val="007521CF"/>
    <w:rsid w:val="00764333"/>
    <w:rsid w:val="007708DC"/>
    <w:rsid w:val="00780F6C"/>
    <w:rsid w:val="007929DA"/>
    <w:rsid w:val="00793FDE"/>
    <w:rsid w:val="007B24D2"/>
    <w:rsid w:val="007B7C0C"/>
    <w:rsid w:val="007C1289"/>
    <w:rsid w:val="007D4E71"/>
    <w:rsid w:val="007E45EB"/>
    <w:rsid w:val="007E5E72"/>
    <w:rsid w:val="007F6D37"/>
    <w:rsid w:val="008034A8"/>
    <w:rsid w:val="008035C9"/>
    <w:rsid w:val="00832B06"/>
    <w:rsid w:val="0083563B"/>
    <w:rsid w:val="00835A52"/>
    <w:rsid w:val="00840590"/>
    <w:rsid w:val="0085210A"/>
    <w:rsid w:val="00854CDF"/>
    <w:rsid w:val="0086359F"/>
    <w:rsid w:val="008642D5"/>
    <w:rsid w:val="0086572D"/>
    <w:rsid w:val="008676A3"/>
    <w:rsid w:val="00871071"/>
    <w:rsid w:val="00877A48"/>
    <w:rsid w:val="008813C2"/>
    <w:rsid w:val="00881F81"/>
    <w:rsid w:val="008936C4"/>
    <w:rsid w:val="00895055"/>
    <w:rsid w:val="008A6C16"/>
    <w:rsid w:val="008B06BF"/>
    <w:rsid w:val="008B4882"/>
    <w:rsid w:val="008C05F7"/>
    <w:rsid w:val="008C0DB9"/>
    <w:rsid w:val="008C3E4B"/>
    <w:rsid w:val="008C5A8D"/>
    <w:rsid w:val="008C7D77"/>
    <w:rsid w:val="008D704F"/>
    <w:rsid w:val="008D71F3"/>
    <w:rsid w:val="008E0F39"/>
    <w:rsid w:val="008F35F2"/>
    <w:rsid w:val="00907DF4"/>
    <w:rsid w:val="00917FC6"/>
    <w:rsid w:val="009326E7"/>
    <w:rsid w:val="00933EA0"/>
    <w:rsid w:val="009341FC"/>
    <w:rsid w:val="0095158F"/>
    <w:rsid w:val="00951A2B"/>
    <w:rsid w:val="00957A10"/>
    <w:rsid w:val="00960101"/>
    <w:rsid w:val="00962B87"/>
    <w:rsid w:val="00962C32"/>
    <w:rsid w:val="0096529C"/>
    <w:rsid w:val="0096591C"/>
    <w:rsid w:val="00971526"/>
    <w:rsid w:val="0097760E"/>
    <w:rsid w:val="00993A9B"/>
    <w:rsid w:val="009A50A9"/>
    <w:rsid w:val="009A6821"/>
    <w:rsid w:val="009B1B29"/>
    <w:rsid w:val="009C15D9"/>
    <w:rsid w:val="009C3A4C"/>
    <w:rsid w:val="009C63C8"/>
    <w:rsid w:val="009D1DC4"/>
    <w:rsid w:val="009E71DD"/>
    <w:rsid w:val="009F70E6"/>
    <w:rsid w:val="009F7957"/>
    <w:rsid w:val="00A00240"/>
    <w:rsid w:val="00A011FE"/>
    <w:rsid w:val="00A14308"/>
    <w:rsid w:val="00A22A91"/>
    <w:rsid w:val="00A30FE3"/>
    <w:rsid w:val="00A347FD"/>
    <w:rsid w:val="00A413BA"/>
    <w:rsid w:val="00A52F19"/>
    <w:rsid w:val="00A570B0"/>
    <w:rsid w:val="00A621A7"/>
    <w:rsid w:val="00A6285A"/>
    <w:rsid w:val="00A90C5D"/>
    <w:rsid w:val="00AA27C9"/>
    <w:rsid w:val="00AB1B72"/>
    <w:rsid w:val="00AB3EBF"/>
    <w:rsid w:val="00AB7A5F"/>
    <w:rsid w:val="00AE5510"/>
    <w:rsid w:val="00AE6308"/>
    <w:rsid w:val="00AF7ABF"/>
    <w:rsid w:val="00B22CA7"/>
    <w:rsid w:val="00B279AC"/>
    <w:rsid w:val="00B420B6"/>
    <w:rsid w:val="00B447AA"/>
    <w:rsid w:val="00B45C51"/>
    <w:rsid w:val="00B47AA1"/>
    <w:rsid w:val="00B51FC5"/>
    <w:rsid w:val="00B56991"/>
    <w:rsid w:val="00B6190F"/>
    <w:rsid w:val="00B6560F"/>
    <w:rsid w:val="00B67C07"/>
    <w:rsid w:val="00B7090B"/>
    <w:rsid w:val="00B70E59"/>
    <w:rsid w:val="00B71CB2"/>
    <w:rsid w:val="00B809D3"/>
    <w:rsid w:val="00B80A56"/>
    <w:rsid w:val="00B871BB"/>
    <w:rsid w:val="00B93307"/>
    <w:rsid w:val="00BA0A2C"/>
    <w:rsid w:val="00BA2F64"/>
    <w:rsid w:val="00BA7F68"/>
    <w:rsid w:val="00BB0644"/>
    <w:rsid w:val="00BB67A4"/>
    <w:rsid w:val="00BC15BC"/>
    <w:rsid w:val="00BC32FA"/>
    <w:rsid w:val="00BD0B60"/>
    <w:rsid w:val="00BD3635"/>
    <w:rsid w:val="00BD3AFF"/>
    <w:rsid w:val="00BD7E93"/>
    <w:rsid w:val="00BE027B"/>
    <w:rsid w:val="00BF07B3"/>
    <w:rsid w:val="00BF382B"/>
    <w:rsid w:val="00C007F0"/>
    <w:rsid w:val="00C00B18"/>
    <w:rsid w:val="00C0581E"/>
    <w:rsid w:val="00C24931"/>
    <w:rsid w:val="00C27DF1"/>
    <w:rsid w:val="00C3193B"/>
    <w:rsid w:val="00C33F1C"/>
    <w:rsid w:val="00C3538E"/>
    <w:rsid w:val="00C36723"/>
    <w:rsid w:val="00C409A4"/>
    <w:rsid w:val="00C42701"/>
    <w:rsid w:val="00C429E0"/>
    <w:rsid w:val="00C42C58"/>
    <w:rsid w:val="00C55DC0"/>
    <w:rsid w:val="00C61A94"/>
    <w:rsid w:val="00C70103"/>
    <w:rsid w:val="00C740F8"/>
    <w:rsid w:val="00C77FA8"/>
    <w:rsid w:val="00C9444D"/>
    <w:rsid w:val="00CC693E"/>
    <w:rsid w:val="00CD5D24"/>
    <w:rsid w:val="00CE07C3"/>
    <w:rsid w:val="00CF5F4E"/>
    <w:rsid w:val="00D02714"/>
    <w:rsid w:val="00D212EA"/>
    <w:rsid w:val="00D23912"/>
    <w:rsid w:val="00D25900"/>
    <w:rsid w:val="00D2627D"/>
    <w:rsid w:val="00D565EE"/>
    <w:rsid w:val="00D61749"/>
    <w:rsid w:val="00D628F4"/>
    <w:rsid w:val="00D65299"/>
    <w:rsid w:val="00D679D6"/>
    <w:rsid w:val="00D7310F"/>
    <w:rsid w:val="00D75D74"/>
    <w:rsid w:val="00D7664A"/>
    <w:rsid w:val="00D81DE8"/>
    <w:rsid w:val="00D93C5C"/>
    <w:rsid w:val="00D95406"/>
    <w:rsid w:val="00DC0AB5"/>
    <w:rsid w:val="00DC2F22"/>
    <w:rsid w:val="00DC4A4E"/>
    <w:rsid w:val="00DE4A4B"/>
    <w:rsid w:val="00DF03AB"/>
    <w:rsid w:val="00DF583A"/>
    <w:rsid w:val="00E005B6"/>
    <w:rsid w:val="00E155D9"/>
    <w:rsid w:val="00E36C36"/>
    <w:rsid w:val="00E4136A"/>
    <w:rsid w:val="00E4611C"/>
    <w:rsid w:val="00E50AB1"/>
    <w:rsid w:val="00E558FC"/>
    <w:rsid w:val="00E5752F"/>
    <w:rsid w:val="00E60880"/>
    <w:rsid w:val="00E60A93"/>
    <w:rsid w:val="00E801C5"/>
    <w:rsid w:val="00E80BEC"/>
    <w:rsid w:val="00E81F26"/>
    <w:rsid w:val="00E90446"/>
    <w:rsid w:val="00E93F32"/>
    <w:rsid w:val="00EB7632"/>
    <w:rsid w:val="00EC11CF"/>
    <w:rsid w:val="00EC6BBD"/>
    <w:rsid w:val="00ED231E"/>
    <w:rsid w:val="00EE3C55"/>
    <w:rsid w:val="00F11BDD"/>
    <w:rsid w:val="00F31A77"/>
    <w:rsid w:val="00F40F87"/>
    <w:rsid w:val="00F413C6"/>
    <w:rsid w:val="00F42833"/>
    <w:rsid w:val="00F5272E"/>
    <w:rsid w:val="00F5791E"/>
    <w:rsid w:val="00F61029"/>
    <w:rsid w:val="00F7051D"/>
    <w:rsid w:val="00F860EA"/>
    <w:rsid w:val="00F91CB7"/>
    <w:rsid w:val="00FA07D5"/>
    <w:rsid w:val="00FA2095"/>
    <w:rsid w:val="00FB0727"/>
    <w:rsid w:val="00FB4431"/>
    <w:rsid w:val="00FB4A0B"/>
    <w:rsid w:val="00FB6358"/>
    <w:rsid w:val="00FC4883"/>
    <w:rsid w:val="00FD4CFC"/>
    <w:rsid w:val="00FD4FE5"/>
    <w:rsid w:val="00FD5248"/>
    <w:rsid w:val="00FF4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2C54"/>
  <w15:chartTrackingRefBased/>
  <w15:docId w15:val="{29C61FCE-745F-43A7-A4F8-1E96DAFC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nhideWhenUsed="1"/>
    <w:lsdException w:name="header" w:semiHidden="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99"/>
    <w:semiHidden/>
    <w:qFormat/>
    <w:rsid w:val="00BA0A2C"/>
    <w:pPr>
      <w:spacing w:line="340" w:lineRule="atLeast"/>
      <w:jc w:val="both"/>
    </w:pPr>
    <w:rPr>
      <w:rFonts w:ascii="Times New Roman" w:eastAsia="Times New Roman" w:hAnsi="Times New Roman"/>
      <w:color w:val="000000"/>
      <w:sz w:val="24"/>
      <w:lang w:val="en-US"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14308"/>
    <w:rPr>
      <w:color w:val="808080"/>
    </w:rPr>
  </w:style>
  <w:style w:type="paragraph" w:customStyle="1" w:styleId="HED-title">
    <w:name w:val="HED-title"/>
    <w:next w:val="HED-authors"/>
    <w:rsid w:val="009F7957"/>
    <w:pPr>
      <w:suppressLineNumbers/>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HED-authors">
    <w:name w:val="HED-authors"/>
    <w:basedOn w:val="HED-text"/>
    <w:next w:val="HED-affiliationandcorrespondece"/>
    <w:qFormat/>
    <w:rsid w:val="00101D43"/>
    <w:pPr>
      <w:spacing w:after="120"/>
      <w:ind w:firstLine="0"/>
      <w:jc w:val="left"/>
    </w:pPr>
    <w:rPr>
      <w:b/>
      <w:snapToGrid/>
    </w:rPr>
  </w:style>
  <w:style w:type="paragraph" w:customStyle="1" w:styleId="HED-affiliationandcorrespondece">
    <w:name w:val="HED-affiliation_and_correspondece"/>
    <w:basedOn w:val="HED-acknowledgments"/>
    <w:qFormat/>
    <w:rsid w:val="007B7C0C"/>
    <w:pPr>
      <w:spacing w:before="0"/>
      <w:ind w:left="198" w:hanging="198"/>
      <w:jc w:val="left"/>
    </w:pPr>
    <w:rPr>
      <w:snapToGrid/>
      <w:szCs w:val="18"/>
    </w:rPr>
  </w:style>
  <w:style w:type="paragraph" w:customStyle="1" w:styleId="HED-abstract">
    <w:name w:val="HED-abstract"/>
    <w:basedOn w:val="HED-text"/>
    <w:next w:val="HED-keywordsandJEL"/>
    <w:qFormat/>
    <w:rsid w:val="007B7C0C"/>
    <w:pPr>
      <w:spacing w:before="240"/>
      <w:ind w:firstLine="0"/>
    </w:pPr>
    <w:rPr>
      <w:snapToGrid/>
    </w:rPr>
  </w:style>
  <w:style w:type="paragraph" w:customStyle="1" w:styleId="HED-keywordsandJEL">
    <w:name w:val="HED-keywords_and_JEL"/>
    <w:basedOn w:val="HED-text"/>
    <w:next w:val="Normln"/>
    <w:qFormat/>
    <w:rsid w:val="00077F15"/>
    <w:pPr>
      <w:pBdr>
        <w:bottom w:val="single" w:sz="4" w:space="1" w:color="auto"/>
      </w:pBdr>
      <w:spacing w:before="240"/>
      <w:ind w:firstLine="0"/>
    </w:pPr>
  </w:style>
  <w:style w:type="paragraph" w:customStyle="1" w:styleId="HED-itemlist">
    <w:name w:val="HED-item_list"/>
    <w:basedOn w:val="HED-text"/>
    <w:qFormat/>
    <w:rsid w:val="00A52F19"/>
    <w:pPr>
      <w:numPr>
        <w:numId w:val="1"/>
      </w:numPr>
      <w:spacing w:before="120" w:after="120"/>
      <w:ind w:left="357" w:hanging="357"/>
      <w:contextualSpacing/>
    </w:pPr>
  </w:style>
  <w:style w:type="paragraph" w:customStyle="1" w:styleId="HED-bulletlist">
    <w:name w:val="HED-bullet_list"/>
    <w:basedOn w:val="HED-text"/>
    <w:qFormat/>
    <w:rsid w:val="00A52F19"/>
    <w:pPr>
      <w:numPr>
        <w:numId w:val="2"/>
      </w:numPr>
      <w:spacing w:before="120" w:after="120"/>
      <w:contextualSpacing/>
    </w:pPr>
  </w:style>
  <w:style w:type="paragraph" w:customStyle="1" w:styleId="HED-equation">
    <w:name w:val="HED-equation"/>
    <w:basedOn w:val="HED-text"/>
    <w:qFormat/>
    <w:rsid w:val="007708DC"/>
    <w:pPr>
      <w:spacing w:before="120" w:after="120"/>
      <w:ind w:left="709" w:firstLine="0"/>
      <w:jc w:val="center"/>
    </w:pPr>
    <w:rPr>
      <w:i/>
    </w:rPr>
  </w:style>
  <w:style w:type="paragraph" w:customStyle="1" w:styleId="HED-equationno">
    <w:name w:val="HED-equation_no."/>
    <w:basedOn w:val="HED-text"/>
    <w:next w:val="HED-text"/>
    <w:qFormat/>
    <w:rsid w:val="00101D43"/>
    <w:pPr>
      <w:spacing w:before="120" w:after="120" w:line="240" w:lineRule="auto"/>
      <w:ind w:firstLine="0"/>
      <w:jc w:val="right"/>
    </w:pPr>
  </w:style>
  <w:style w:type="paragraph" w:customStyle="1" w:styleId="HED-acknowledgments">
    <w:name w:val="HED-acknowledgments"/>
    <w:qFormat/>
    <w:rsid w:val="00895055"/>
    <w:pPr>
      <w:suppressLineNumbers/>
      <w:adjustRightInd w:val="0"/>
      <w:snapToGrid w:val="0"/>
      <w:spacing w:before="120" w:line="276" w:lineRule="auto"/>
      <w:jc w:val="both"/>
    </w:pPr>
    <w:rPr>
      <w:rFonts w:ascii="Palatino Linotype" w:eastAsia="Times New Roman" w:hAnsi="Palatino Linotype"/>
      <w:snapToGrid w:val="0"/>
      <w:color w:val="000000"/>
      <w:sz w:val="18"/>
      <w:lang w:val="en-US" w:eastAsia="de-DE" w:bidi="en-US"/>
    </w:rPr>
  </w:style>
  <w:style w:type="paragraph" w:customStyle="1" w:styleId="HED-tablecaption">
    <w:name w:val="HED-table_caption"/>
    <w:basedOn w:val="HED-acknowledgments"/>
    <w:next w:val="HED-text"/>
    <w:qFormat/>
    <w:rsid w:val="007929DA"/>
    <w:pPr>
      <w:spacing w:after="120" w:line="260" w:lineRule="atLeast"/>
      <w:ind w:left="425" w:right="425"/>
      <w:contextualSpacing/>
      <w:jc w:val="left"/>
    </w:pPr>
    <w:rPr>
      <w:snapToGrid/>
      <w:szCs w:val="22"/>
    </w:rPr>
  </w:style>
  <w:style w:type="paragraph" w:customStyle="1" w:styleId="HED-tablebody">
    <w:name w:val="HED-table_body"/>
    <w:qFormat/>
    <w:rsid w:val="00597E05"/>
    <w:pPr>
      <w:suppressLineNumbers/>
      <w:adjustRightInd w:val="0"/>
      <w:snapToGrid w:val="0"/>
      <w:spacing w:line="260" w:lineRule="atLeast"/>
      <w:jc w:val="center"/>
    </w:pPr>
    <w:rPr>
      <w:rFonts w:ascii="Palatino Linotype" w:eastAsia="Times New Roman" w:hAnsi="Palatino Linotype"/>
      <w:snapToGrid w:val="0"/>
      <w:color w:val="000000"/>
      <w:sz w:val="18"/>
      <w:lang w:val="en-US" w:eastAsia="de-DE" w:bidi="en-US"/>
    </w:rPr>
  </w:style>
  <w:style w:type="paragraph" w:customStyle="1" w:styleId="HED-tablefooter">
    <w:name w:val="HED-table_footer"/>
    <w:basedOn w:val="HED-tablecaption"/>
    <w:next w:val="HED-text"/>
    <w:qFormat/>
    <w:rsid w:val="00101D43"/>
    <w:pPr>
      <w:spacing w:before="0"/>
      <w:ind w:left="0" w:right="0"/>
    </w:pPr>
  </w:style>
  <w:style w:type="paragraph" w:customStyle="1" w:styleId="HED-figurecaption">
    <w:name w:val="HED-figure_caption"/>
    <w:basedOn w:val="HED-acknowledgments"/>
    <w:next w:val="HED-figure"/>
    <w:qFormat/>
    <w:rsid w:val="00A52F19"/>
    <w:pPr>
      <w:spacing w:after="240" w:line="260" w:lineRule="atLeast"/>
      <w:ind w:left="425" w:right="425"/>
    </w:pPr>
    <w:rPr>
      <w:snapToGrid/>
    </w:rPr>
  </w:style>
  <w:style w:type="paragraph" w:customStyle="1" w:styleId="HED-figure">
    <w:name w:val="HED-figure"/>
    <w:next w:val="HED-text"/>
    <w:qFormat/>
    <w:rsid w:val="0096591C"/>
    <w:pPr>
      <w:suppressLineNumbers/>
      <w:jc w:val="center"/>
    </w:pPr>
    <w:rPr>
      <w:rFonts w:ascii="Palatino Linotype" w:eastAsia="Times New Roman" w:hAnsi="Palatino Linotype"/>
      <w:snapToGrid w:val="0"/>
      <w:color w:val="000000"/>
      <w:sz w:val="24"/>
      <w:lang w:val="en-US" w:eastAsia="de-DE" w:bidi="en-US"/>
    </w:rPr>
  </w:style>
  <w:style w:type="paragraph" w:customStyle="1" w:styleId="HED-text">
    <w:name w:val="HED-text"/>
    <w:qFormat/>
    <w:rsid w:val="004711DD"/>
    <w:pPr>
      <w:suppressLineNumbers/>
      <w:adjustRightInd w:val="0"/>
      <w:snapToGrid w:val="0"/>
      <w:spacing w:line="276" w:lineRule="auto"/>
      <w:ind w:firstLine="425"/>
      <w:jc w:val="both"/>
    </w:pPr>
    <w:rPr>
      <w:rFonts w:ascii="Palatino Linotype" w:eastAsia="Times New Roman" w:hAnsi="Palatino Linotype"/>
      <w:snapToGrid w:val="0"/>
      <w:color w:val="000000"/>
      <w:sz w:val="22"/>
      <w:szCs w:val="22"/>
      <w:lang w:val="en-US" w:eastAsia="de-DE" w:bidi="en-US"/>
    </w:rPr>
  </w:style>
  <w:style w:type="paragraph" w:customStyle="1" w:styleId="HED-heading1">
    <w:name w:val="HED-heading1"/>
    <w:next w:val="HED-text"/>
    <w:qFormat/>
    <w:rsid w:val="007E5E72"/>
    <w:pPr>
      <w:suppressLineNumbers/>
      <w:adjustRightInd w:val="0"/>
      <w:snapToGrid w:val="0"/>
      <w:spacing w:before="240" w:after="120" w:line="260" w:lineRule="atLeast"/>
      <w:outlineLvl w:val="0"/>
    </w:pPr>
    <w:rPr>
      <w:rFonts w:ascii="Palatino Linotype" w:eastAsia="Times New Roman" w:hAnsi="Palatino Linotype"/>
      <w:b/>
      <w:snapToGrid w:val="0"/>
      <w:color w:val="000000"/>
      <w:sz w:val="22"/>
      <w:szCs w:val="22"/>
      <w:lang w:val="en-US" w:eastAsia="de-DE" w:bidi="en-US"/>
    </w:rPr>
  </w:style>
  <w:style w:type="paragraph" w:customStyle="1" w:styleId="HED-heading2">
    <w:name w:val="HED-heading2"/>
    <w:next w:val="HED-text"/>
    <w:qFormat/>
    <w:rsid w:val="007E5E72"/>
    <w:pPr>
      <w:suppressLineNumbers/>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2"/>
      <w:szCs w:val="22"/>
      <w:lang w:val="en-US" w:eastAsia="de-DE" w:bidi="en-US"/>
    </w:rPr>
  </w:style>
  <w:style w:type="paragraph" w:customStyle="1" w:styleId="HED-References">
    <w:name w:val="HED-References"/>
    <w:basedOn w:val="HED-acknowledgments"/>
    <w:qFormat/>
    <w:rsid w:val="00221215"/>
    <w:pPr>
      <w:spacing w:before="0" w:line="260" w:lineRule="atLeast"/>
      <w:ind w:left="425" w:hanging="425"/>
      <w:jc w:val="left"/>
    </w:pPr>
  </w:style>
  <w:style w:type="paragraph" w:styleId="Textbubliny">
    <w:name w:val="Balloon Text"/>
    <w:basedOn w:val="Normln"/>
    <w:link w:val="TextbublinyChar"/>
    <w:uiPriority w:val="99"/>
    <w:semiHidden/>
    <w:rsid w:val="00101D43"/>
    <w:pPr>
      <w:spacing w:line="240" w:lineRule="auto"/>
    </w:pPr>
    <w:rPr>
      <w:sz w:val="18"/>
      <w:szCs w:val="18"/>
    </w:rPr>
  </w:style>
  <w:style w:type="character" w:customStyle="1" w:styleId="TextbublinyChar">
    <w:name w:val="Text bubliny Char"/>
    <w:link w:val="Textbubliny"/>
    <w:uiPriority w:val="99"/>
    <w:semiHidden/>
    <w:rsid w:val="00BA0A2C"/>
    <w:rPr>
      <w:rFonts w:ascii="Times New Roman" w:eastAsia="Times New Roman" w:hAnsi="Times New Roman"/>
      <w:color w:val="000000"/>
      <w:sz w:val="18"/>
      <w:szCs w:val="18"/>
      <w:lang w:val="en-US" w:eastAsia="de-DE"/>
    </w:rPr>
  </w:style>
  <w:style w:type="character" w:styleId="slodku">
    <w:name w:val="line number"/>
    <w:basedOn w:val="Standardnpsmoodstavce"/>
    <w:uiPriority w:val="99"/>
    <w:semiHidden/>
    <w:rsid w:val="00101D43"/>
  </w:style>
  <w:style w:type="table" w:customStyle="1" w:styleId="MDPI41threelinetable">
    <w:name w:val="MDPI_4.1_three_line_table"/>
    <w:basedOn w:val="Normlntabulka"/>
    <w:uiPriority w:val="99"/>
    <w:rsid w:val="00A6285A"/>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textovodkaz">
    <w:name w:val="Hyperlink"/>
    <w:uiPriority w:val="99"/>
    <w:semiHidden/>
    <w:rsid w:val="0001174F"/>
    <w:rPr>
      <w:color w:val="0563C1"/>
      <w:u w:val="single"/>
    </w:rPr>
  </w:style>
  <w:style w:type="character" w:customStyle="1" w:styleId="Nevyrieenzmienka1">
    <w:name w:val="Nevyriešená zmienka1"/>
    <w:uiPriority w:val="99"/>
    <w:semiHidden/>
    <w:rsid w:val="003305E2"/>
    <w:rPr>
      <w:color w:val="605E5C"/>
      <w:shd w:val="clear" w:color="auto" w:fill="E1DFDD"/>
    </w:rPr>
  </w:style>
  <w:style w:type="paragraph" w:styleId="Zpat">
    <w:name w:val="footer"/>
    <w:basedOn w:val="Normln"/>
    <w:link w:val="ZpatChar"/>
    <w:uiPriority w:val="99"/>
    <w:semiHidden/>
    <w:rsid w:val="00BE027B"/>
    <w:pPr>
      <w:tabs>
        <w:tab w:val="center" w:pos="4153"/>
        <w:tab w:val="right" w:pos="8306"/>
      </w:tabs>
    </w:pPr>
  </w:style>
  <w:style w:type="character" w:customStyle="1" w:styleId="ZpatChar">
    <w:name w:val="Zápatí Char"/>
    <w:link w:val="Zpat"/>
    <w:uiPriority w:val="99"/>
    <w:semiHidden/>
    <w:rsid w:val="00BA0A2C"/>
    <w:rPr>
      <w:rFonts w:ascii="Times New Roman" w:eastAsia="Times New Roman" w:hAnsi="Times New Roman"/>
      <w:color w:val="000000"/>
      <w:sz w:val="24"/>
      <w:lang w:val="en-US" w:eastAsia="de-DE"/>
    </w:rPr>
  </w:style>
  <w:style w:type="table" w:styleId="Mkatabulky">
    <w:name w:val="Table Grid"/>
    <w:basedOn w:val="Normlntabulka"/>
    <w:uiPriority w:val="59"/>
    <w:rsid w:val="00BE0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4">
    <w:name w:val="Plain Table 4"/>
    <w:basedOn w:val="Normlntabulka"/>
    <w:uiPriority w:val="44"/>
    <w:rsid w:val="00BE02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Sledovanodkaz">
    <w:name w:val="FollowedHyperlink"/>
    <w:uiPriority w:val="99"/>
    <w:semiHidden/>
    <w:rsid w:val="0062223B"/>
    <w:rPr>
      <w:color w:val="954F72"/>
      <w:u w:val="single"/>
    </w:rPr>
  </w:style>
  <w:style w:type="character" w:styleId="Odkaznakoment">
    <w:name w:val="annotation reference"/>
    <w:basedOn w:val="Standardnpsmoodstavce"/>
    <w:uiPriority w:val="99"/>
    <w:semiHidden/>
    <w:rsid w:val="0086359F"/>
    <w:rPr>
      <w:sz w:val="16"/>
      <w:szCs w:val="16"/>
    </w:rPr>
  </w:style>
  <w:style w:type="paragraph" w:styleId="Textkomente">
    <w:name w:val="annotation text"/>
    <w:basedOn w:val="Normln"/>
    <w:link w:val="TextkomenteChar"/>
    <w:uiPriority w:val="99"/>
    <w:semiHidden/>
    <w:rsid w:val="0086359F"/>
    <w:pPr>
      <w:spacing w:line="240" w:lineRule="auto"/>
    </w:pPr>
    <w:rPr>
      <w:sz w:val="20"/>
    </w:rPr>
  </w:style>
  <w:style w:type="character" w:customStyle="1" w:styleId="TextkomenteChar">
    <w:name w:val="Text komentáře Char"/>
    <w:basedOn w:val="Standardnpsmoodstavce"/>
    <w:link w:val="Textkomente"/>
    <w:uiPriority w:val="99"/>
    <w:semiHidden/>
    <w:rsid w:val="00BA0A2C"/>
    <w:rPr>
      <w:rFonts w:ascii="Times New Roman" w:eastAsia="Times New Roman" w:hAnsi="Times New Roman"/>
      <w:color w:val="000000"/>
      <w:lang w:val="en-US" w:eastAsia="de-DE"/>
    </w:rPr>
  </w:style>
  <w:style w:type="paragraph" w:styleId="Pedmtkomente">
    <w:name w:val="annotation subject"/>
    <w:basedOn w:val="Textkomente"/>
    <w:next w:val="Textkomente"/>
    <w:link w:val="PedmtkomenteChar"/>
    <w:uiPriority w:val="99"/>
    <w:semiHidden/>
    <w:rsid w:val="0086359F"/>
    <w:rPr>
      <w:b/>
      <w:bCs/>
    </w:rPr>
  </w:style>
  <w:style w:type="character" w:customStyle="1" w:styleId="PedmtkomenteChar">
    <w:name w:val="Předmět komentáře Char"/>
    <w:basedOn w:val="TextkomenteChar"/>
    <w:link w:val="Pedmtkomente"/>
    <w:uiPriority w:val="99"/>
    <w:semiHidden/>
    <w:rsid w:val="00BA0A2C"/>
    <w:rPr>
      <w:rFonts w:ascii="Times New Roman" w:eastAsia="Times New Roman" w:hAnsi="Times New Roman"/>
      <w:b/>
      <w:bCs/>
      <w:color w:val="000000"/>
      <w:lang w:val="en-US" w:eastAsia="de-DE"/>
    </w:rPr>
  </w:style>
  <w:style w:type="paragraph" w:customStyle="1" w:styleId="HEDHEADER">
    <w:name w:val="HED_HEADER"/>
    <w:qFormat/>
    <w:rsid w:val="00895055"/>
    <w:pPr>
      <w:pBdr>
        <w:bottom w:val="single" w:sz="6" w:space="1" w:color="auto"/>
      </w:pBdr>
      <w:tabs>
        <w:tab w:val="center" w:pos="4153"/>
        <w:tab w:val="right" w:pos="8306"/>
      </w:tabs>
      <w:snapToGrid w:val="0"/>
      <w:spacing w:line="240" w:lineRule="atLeast"/>
    </w:pPr>
    <w:rPr>
      <w:rFonts w:ascii="Palatino Linotype" w:eastAsia="Times New Roman" w:hAnsi="Palatino Linotype"/>
      <w:caps/>
      <w:color w:val="000000"/>
      <w:sz w:val="18"/>
      <w:szCs w:val="18"/>
      <w:lang w:eastAsia="de-DE"/>
    </w:rPr>
  </w:style>
  <w:style w:type="paragraph" w:styleId="Odstavecseseznamem">
    <w:name w:val="List Paragraph"/>
    <w:basedOn w:val="Normln"/>
    <w:uiPriority w:val="99"/>
    <w:semiHidden/>
    <w:qFormat/>
    <w:rsid w:val="00745526"/>
    <w:pPr>
      <w:ind w:left="720"/>
      <w:contextualSpacing/>
    </w:pPr>
  </w:style>
  <w:style w:type="character" w:styleId="Zdraznn">
    <w:name w:val="Emphasis"/>
    <w:basedOn w:val="Standardnpsmoodstavce"/>
    <w:uiPriority w:val="99"/>
    <w:semiHidden/>
    <w:qFormat/>
    <w:rsid w:val="00221215"/>
    <w:rPr>
      <w:i/>
      <w:iCs/>
    </w:rPr>
  </w:style>
  <w:style w:type="paragraph" w:styleId="Zhlav">
    <w:name w:val="header"/>
    <w:basedOn w:val="Normln"/>
    <w:link w:val="ZhlavChar"/>
    <w:uiPriority w:val="99"/>
    <w:semiHidden/>
    <w:rsid w:val="00C70103"/>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C70103"/>
    <w:rPr>
      <w:rFonts w:ascii="Times New Roman" w:eastAsia="Times New Roman" w:hAnsi="Times New Roman"/>
      <w:color w:val="000000"/>
      <w:sz w:val="24"/>
      <w:lang w:val="en-US" w:eastAsia="de-DE"/>
    </w:rPr>
  </w:style>
  <w:style w:type="paragraph" w:customStyle="1" w:styleId="HED-code">
    <w:name w:val="HED-code"/>
    <w:basedOn w:val="HED-text"/>
    <w:uiPriority w:val="99"/>
    <w:qFormat/>
    <w:rsid w:val="00291D2D"/>
    <w:pPr>
      <w:contextualSpacing/>
    </w:pPr>
    <w:rPr>
      <w:rFonts w:ascii="Courier New" w:hAnsi="Courier New" w:cs="Courier New"/>
      <w:sz w:val="20"/>
      <w:szCs w:val="20"/>
    </w:rPr>
  </w:style>
  <w:style w:type="paragraph" w:styleId="Titulek">
    <w:name w:val="caption"/>
    <w:basedOn w:val="Normln"/>
    <w:next w:val="Normln"/>
    <w:uiPriority w:val="99"/>
    <w:semiHidden/>
    <w:qFormat/>
    <w:rsid w:val="00BD363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8684">
      <w:bodyDiv w:val="1"/>
      <w:marLeft w:val="0"/>
      <w:marRight w:val="0"/>
      <w:marTop w:val="0"/>
      <w:marBottom w:val="0"/>
      <w:divBdr>
        <w:top w:val="none" w:sz="0" w:space="0" w:color="auto"/>
        <w:left w:val="none" w:sz="0" w:space="0" w:color="auto"/>
        <w:bottom w:val="none" w:sz="0" w:space="0" w:color="auto"/>
        <w:right w:val="none" w:sz="0" w:space="0" w:color="auto"/>
      </w:divBdr>
    </w:div>
    <w:div w:id="299269624">
      <w:bodyDiv w:val="1"/>
      <w:marLeft w:val="0"/>
      <w:marRight w:val="0"/>
      <w:marTop w:val="0"/>
      <w:marBottom w:val="0"/>
      <w:divBdr>
        <w:top w:val="none" w:sz="0" w:space="0" w:color="auto"/>
        <w:left w:val="none" w:sz="0" w:space="0" w:color="auto"/>
        <w:bottom w:val="none" w:sz="0" w:space="0" w:color="auto"/>
        <w:right w:val="none" w:sz="0" w:space="0" w:color="auto"/>
      </w:divBdr>
    </w:div>
    <w:div w:id="485896528">
      <w:bodyDiv w:val="1"/>
      <w:marLeft w:val="0"/>
      <w:marRight w:val="0"/>
      <w:marTop w:val="0"/>
      <w:marBottom w:val="0"/>
      <w:divBdr>
        <w:top w:val="none" w:sz="0" w:space="0" w:color="auto"/>
        <w:left w:val="none" w:sz="0" w:space="0" w:color="auto"/>
        <w:bottom w:val="none" w:sz="0" w:space="0" w:color="auto"/>
        <w:right w:val="none" w:sz="0" w:space="0" w:color="auto"/>
      </w:divBdr>
    </w:div>
    <w:div w:id="550961853">
      <w:bodyDiv w:val="1"/>
      <w:marLeft w:val="0"/>
      <w:marRight w:val="0"/>
      <w:marTop w:val="0"/>
      <w:marBottom w:val="0"/>
      <w:divBdr>
        <w:top w:val="none" w:sz="0" w:space="0" w:color="auto"/>
        <w:left w:val="none" w:sz="0" w:space="0" w:color="auto"/>
        <w:bottom w:val="none" w:sz="0" w:space="0" w:color="auto"/>
        <w:right w:val="none" w:sz="0" w:space="0" w:color="auto"/>
      </w:divBdr>
    </w:div>
    <w:div w:id="963317680">
      <w:bodyDiv w:val="1"/>
      <w:marLeft w:val="0"/>
      <w:marRight w:val="0"/>
      <w:marTop w:val="0"/>
      <w:marBottom w:val="0"/>
      <w:divBdr>
        <w:top w:val="none" w:sz="0" w:space="0" w:color="auto"/>
        <w:left w:val="none" w:sz="0" w:space="0" w:color="auto"/>
        <w:bottom w:val="none" w:sz="0" w:space="0" w:color="auto"/>
        <w:right w:val="none" w:sz="0" w:space="0" w:color="auto"/>
      </w:divBdr>
    </w:div>
    <w:div w:id="1008479595">
      <w:bodyDiv w:val="1"/>
      <w:marLeft w:val="0"/>
      <w:marRight w:val="0"/>
      <w:marTop w:val="0"/>
      <w:marBottom w:val="0"/>
      <w:divBdr>
        <w:top w:val="none" w:sz="0" w:space="0" w:color="auto"/>
        <w:left w:val="none" w:sz="0" w:space="0" w:color="auto"/>
        <w:bottom w:val="none" w:sz="0" w:space="0" w:color="auto"/>
        <w:right w:val="none" w:sz="0" w:space="0" w:color="auto"/>
      </w:divBdr>
    </w:div>
    <w:div w:id="1026056009">
      <w:bodyDiv w:val="1"/>
      <w:marLeft w:val="0"/>
      <w:marRight w:val="0"/>
      <w:marTop w:val="0"/>
      <w:marBottom w:val="0"/>
      <w:divBdr>
        <w:top w:val="none" w:sz="0" w:space="0" w:color="auto"/>
        <w:left w:val="none" w:sz="0" w:space="0" w:color="auto"/>
        <w:bottom w:val="none" w:sz="0" w:space="0" w:color="auto"/>
        <w:right w:val="none" w:sz="0" w:space="0" w:color="auto"/>
      </w:divBdr>
    </w:div>
    <w:div w:id="1113208452">
      <w:bodyDiv w:val="1"/>
      <w:marLeft w:val="0"/>
      <w:marRight w:val="0"/>
      <w:marTop w:val="0"/>
      <w:marBottom w:val="0"/>
      <w:divBdr>
        <w:top w:val="none" w:sz="0" w:space="0" w:color="auto"/>
        <w:left w:val="none" w:sz="0" w:space="0" w:color="auto"/>
        <w:bottom w:val="none" w:sz="0" w:space="0" w:color="auto"/>
        <w:right w:val="none" w:sz="0" w:space="0" w:color="auto"/>
      </w:divBdr>
      <w:divsChild>
        <w:div w:id="931815145">
          <w:marLeft w:val="0"/>
          <w:marRight w:val="0"/>
          <w:marTop w:val="90"/>
          <w:marBottom w:val="0"/>
          <w:divBdr>
            <w:top w:val="none" w:sz="0" w:space="0" w:color="auto"/>
            <w:left w:val="none" w:sz="0" w:space="0" w:color="auto"/>
            <w:bottom w:val="none" w:sz="0" w:space="0" w:color="auto"/>
            <w:right w:val="none" w:sz="0" w:space="0" w:color="auto"/>
          </w:divBdr>
          <w:divsChild>
            <w:div w:id="408313807">
              <w:marLeft w:val="0"/>
              <w:marRight w:val="0"/>
              <w:marTop w:val="0"/>
              <w:marBottom w:val="420"/>
              <w:divBdr>
                <w:top w:val="none" w:sz="0" w:space="0" w:color="auto"/>
                <w:left w:val="none" w:sz="0" w:space="0" w:color="auto"/>
                <w:bottom w:val="none" w:sz="0" w:space="0" w:color="auto"/>
                <w:right w:val="none" w:sz="0" w:space="0" w:color="auto"/>
              </w:divBdr>
              <w:divsChild>
                <w:div w:id="926770687">
                  <w:marLeft w:val="0"/>
                  <w:marRight w:val="0"/>
                  <w:marTop w:val="0"/>
                  <w:marBottom w:val="0"/>
                  <w:divBdr>
                    <w:top w:val="none" w:sz="0" w:space="0" w:color="auto"/>
                    <w:left w:val="none" w:sz="0" w:space="0" w:color="auto"/>
                    <w:bottom w:val="none" w:sz="0" w:space="0" w:color="auto"/>
                    <w:right w:val="none" w:sz="0" w:space="0" w:color="auto"/>
                  </w:divBdr>
                  <w:divsChild>
                    <w:div w:id="677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455767">
      <w:bodyDiv w:val="1"/>
      <w:marLeft w:val="0"/>
      <w:marRight w:val="0"/>
      <w:marTop w:val="0"/>
      <w:marBottom w:val="0"/>
      <w:divBdr>
        <w:top w:val="none" w:sz="0" w:space="0" w:color="auto"/>
        <w:left w:val="none" w:sz="0" w:space="0" w:color="auto"/>
        <w:bottom w:val="none" w:sz="0" w:space="0" w:color="auto"/>
        <w:right w:val="none" w:sz="0" w:space="0" w:color="auto"/>
      </w:divBdr>
    </w:div>
    <w:div w:id="1461269652">
      <w:bodyDiv w:val="1"/>
      <w:marLeft w:val="0"/>
      <w:marRight w:val="0"/>
      <w:marTop w:val="0"/>
      <w:marBottom w:val="0"/>
      <w:divBdr>
        <w:top w:val="none" w:sz="0" w:space="0" w:color="auto"/>
        <w:left w:val="none" w:sz="0" w:space="0" w:color="auto"/>
        <w:bottom w:val="none" w:sz="0" w:space="0" w:color="auto"/>
        <w:right w:val="none" w:sz="0" w:space="0" w:color="auto"/>
      </w:divBdr>
    </w:div>
    <w:div w:id="1546021673">
      <w:bodyDiv w:val="1"/>
      <w:marLeft w:val="0"/>
      <w:marRight w:val="0"/>
      <w:marTop w:val="0"/>
      <w:marBottom w:val="0"/>
      <w:divBdr>
        <w:top w:val="none" w:sz="0" w:space="0" w:color="auto"/>
        <w:left w:val="none" w:sz="0" w:space="0" w:color="auto"/>
        <w:bottom w:val="none" w:sz="0" w:space="0" w:color="auto"/>
        <w:right w:val="none" w:sz="0" w:space="0" w:color="auto"/>
      </w:divBdr>
    </w:div>
    <w:div w:id="1585382832">
      <w:bodyDiv w:val="1"/>
      <w:marLeft w:val="0"/>
      <w:marRight w:val="0"/>
      <w:marTop w:val="0"/>
      <w:marBottom w:val="0"/>
      <w:divBdr>
        <w:top w:val="none" w:sz="0" w:space="0" w:color="auto"/>
        <w:left w:val="none" w:sz="0" w:space="0" w:color="auto"/>
        <w:bottom w:val="none" w:sz="0" w:space="0" w:color="auto"/>
        <w:right w:val="none" w:sz="0" w:space="0" w:color="auto"/>
      </w:divBdr>
    </w:div>
    <w:div w:id="1671786297">
      <w:bodyDiv w:val="1"/>
      <w:marLeft w:val="0"/>
      <w:marRight w:val="0"/>
      <w:marTop w:val="0"/>
      <w:marBottom w:val="0"/>
      <w:divBdr>
        <w:top w:val="none" w:sz="0" w:space="0" w:color="auto"/>
        <w:left w:val="none" w:sz="0" w:space="0" w:color="auto"/>
        <w:bottom w:val="none" w:sz="0" w:space="0" w:color="auto"/>
        <w:right w:val="none" w:sz="0" w:space="0" w:color="auto"/>
      </w:divBdr>
    </w:div>
    <w:div w:id="1734037319">
      <w:bodyDiv w:val="1"/>
      <w:marLeft w:val="0"/>
      <w:marRight w:val="0"/>
      <w:marTop w:val="0"/>
      <w:marBottom w:val="0"/>
      <w:divBdr>
        <w:top w:val="none" w:sz="0" w:space="0" w:color="auto"/>
        <w:left w:val="none" w:sz="0" w:space="0" w:color="auto"/>
        <w:bottom w:val="none" w:sz="0" w:space="0" w:color="auto"/>
        <w:right w:val="none" w:sz="0" w:space="0" w:color="auto"/>
      </w:divBdr>
      <w:divsChild>
        <w:div w:id="1420954244">
          <w:marLeft w:val="480"/>
          <w:marRight w:val="0"/>
          <w:marTop w:val="0"/>
          <w:marBottom w:val="0"/>
          <w:divBdr>
            <w:top w:val="none" w:sz="0" w:space="0" w:color="auto"/>
            <w:left w:val="none" w:sz="0" w:space="0" w:color="auto"/>
            <w:bottom w:val="none" w:sz="0" w:space="0" w:color="auto"/>
            <w:right w:val="none" w:sz="0" w:space="0" w:color="auto"/>
          </w:divBdr>
          <w:divsChild>
            <w:div w:id="3225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7489">
      <w:bodyDiv w:val="1"/>
      <w:marLeft w:val="0"/>
      <w:marRight w:val="0"/>
      <w:marTop w:val="0"/>
      <w:marBottom w:val="0"/>
      <w:divBdr>
        <w:top w:val="none" w:sz="0" w:space="0" w:color="auto"/>
        <w:left w:val="none" w:sz="0" w:space="0" w:color="auto"/>
        <w:bottom w:val="none" w:sz="0" w:space="0" w:color="auto"/>
        <w:right w:val="none" w:sz="0" w:space="0" w:color="auto"/>
      </w:divBdr>
      <w:divsChild>
        <w:div w:id="1990549407">
          <w:marLeft w:val="480"/>
          <w:marRight w:val="0"/>
          <w:marTop w:val="0"/>
          <w:marBottom w:val="0"/>
          <w:divBdr>
            <w:top w:val="none" w:sz="0" w:space="0" w:color="auto"/>
            <w:left w:val="none" w:sz="0" w:space="0" w:color="auto"/>
            <w:bottom w:val="none" w:sz="0" w:space="0" w:color="auto"/>
            <w:right w:val="none" w:sz="0" w:space="0" w:color="auto"/>
          </w:divBdr>
          <w:divsChild>
            <w:div w:id="17384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rcsmarose@ujs.sk" TargetMode="External"/><Relationship Id="rId18" Type="http://schemas.openxmlformats.org/officeDocument/2006/relationships/chart" Target="charts/chart2.xml"/><Relationship Id="rId26" Type="http://schemas.openxmlformats.org/officeDocument/2006/relationships/hyperlink" Target="https://doi.org/10.1108/YC-07-2016-00622" TargetMode="External"/><Relationship Id="rId39" Type="http://schemas.openxmlformats.org/officeDocument/2006/relationships/hyperlink" Target="https://doi.org/10.14254/2071-789X.2017/10-3/7" TargetMode="External"/><Relationship Id="rId21" Type="http://schemas.openxmlformats.org/officeDocument/2006/relationships/hyperlink" Target="https://doi.org/10.1080/16184742.2012.679949" TargetMode="External"/><Relationship Id="rId34" Type="http://schemas.openxmlformats.org/officeDocument/2006/relationships/hyperlink" Target="https://doi.org/10.3390/su13031157" TargetMode="External"/><Relationship Id="rId42" Type="http://schemas.openxmlformats.org/officeDocument/2006/relationships/hyperlink" Target="https://doi.org/10.1111/ijcs.12126"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zsigmondt@ujs.sk" TargetMode="External"/><Relationship Id="rId29" Type="http://schemas.openxmlformats.org/officeDocument/2006/relationships/hyperlink" Target="https://doi.org/10.33736/ijbs.548.20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ovar@ujs.sk" TargetMode="External"/><Relationship Id="rId24" Type="http://schemas.openxmlformats.org/officeDocument/2006/relationships/hyperlink" Target="https://doi.org/10.14207/ejsd.2021.v10n2p231" TargetMode="External"/><Relationship Id="rId32" Type="http://schemas.openxmlformats.org/officeDocument/2006/relationships/hyperlink" Target="https://doi.org/10.1016/j.jhtm.2019.08.002" TargetMode="External"/><Relationship Id="rId37" Type="http://schemas.openxmlformats.org/officeDocument/2006/relationships/hyperlink" Target="https://doi.org/10.1007/978-3-030-25726-2" TargetMode="External"/><Relationship Id="rId40" Type="http://schemas.openxmlformats.org/officeDocument/2006/relationships/hyperlink" Target="https://doi.org/10.1016/j.cirpj.2016.04.002"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benz@ujs.sk" TargetMode="External"/><Relationship Id="rId23" Type="http://schemas.openxmlformats.org/officeDocument/2006/relationships/hyperlink" Target="https://doi.org/10.1504/IJICBM.2019.098001" TargetMode="External"/><Relationship Id="rId28" Type="http://schemas.openxmlformats.org/officeDocument/2006/relationships/hyperlink" Target="https://doi.org/10.1556/0016.2018.73.2.5" TargetMode="External"/><Relationship Id="rId36" Type="http://schemas.openxmlformats.org/officeDocument/2006/relationships/hyperlink" Target="https://doi.org/10.3390/su12177118" TargetMode="External"/><Relationship Id="rId10" Type="http://schemas.openxmlformats.org/officeDocument/2006/relationships/endnotes" Target="endnotes.xml"/><Relationship Id="rId19" Type="http://schemas.openxmlformats.org/officeDocument/2006/relationships/hyperlink" Target="https://doi.org/10.5901/mjss.2014.v5n19p218" TargetMode="External"/><Relationship Id="rId31" Type="http://schemas.openxmlformats.org/officeDocument/2006/relationships/hyperlink" Target="https://doi.org/10.21272/mmi.2019.3-01"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sigmondova.annamaria@student.ujs.sk" TargetMode="External"/><Relationship Id="rId22" Type="http://schemas.openxmlformats.org/officeDocument/2006/relationships/hyperlink" Target="https://doi.org/0.33468/sbsebd.125" TargetMode="External"/><Relationship Id="rId27" Type="http://schemas.openxmlformats.org/officeDocument/2006/relationships/hyperlink" Target="https://doi.org/10.22598/mt/2018.30.2.165" TargetMode="External"/><Relationship Id="rId30" Type="http://schemas.openxmlformats.org/officeDocument/2006/relationships/hyperlink" Target="https://assets.kpmg/content/dam/kpmg/xx/pdf/2017/01/the-truth-about-online-consumers.pdf" TargetMode="External"/><Relationship Id="rId35" Type="http://schemas.openxmlformats.org/officeDocument/2006/relationships/hyperlink" Target="https://doi.org/10.29036/jots.v10i19.110" TargetMode="External"/><Relationship Id="rId43" Type="http://schemas.openxmlformats.org/officeDocument/2006/relationships/hyperlink" Target="https://doi.org/10.1016/j.chb.2016.07.06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zsigmondt@ujs.sk" TargetMode="External"/><Relationship Id="rId17" Type="http://schemas.openxmlformats.org/officeDocument/2006/relationships/chart" Target="charts/chart1.xml"/><Relationship Id="rId25" Type="http://schemas.openxmlformats.org/officeDocument/2006/relationships/hyperlink" Target="https://doi.org/10.1386/cc.4.3.219_1" TargetMode="External"/><Relationship Id="rId33" Type="http://schemas.openxmlformats.org/officeDocument/2006/relationships/hyperlink" Target="https://doi.org/10.17423/afx.2018.60.1.17" TargetMode="External"/><Relationship Id="rId38" Type="http://schemas.openxmlformats.org/officeDocument/2006/relationships/hyperlink" Target="https://doi.org/10.1108/IMR-05-2019-0142" TargetMode="External"/><Relationship Id="rId20" Type="http://schemas.openxmlformats.org/officeDocument/2006/relationships/hyperlink" Target="https://doi.org/10.15240/tul/001/2017-2-002" TargetMode="External"/><Relationship Id="rId41" Type="http://schemas.openxmlformats.org/officeDocument/2006/relationships/hyperlink" Target="https://www.statista.com/statistics/1100571/sports-content-social-me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TIBI\Alkalmazotti%20dolgok\Publik&#225;ci&#243;\2.%20Anyagok\HED2022%20-%20nincs%20beadva\Focis%20-%20DAC%20-%20HED%20beadva\hed_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TIBI\Doktoranduszi%20k&#233;pz&#233;s\Publik&#225;ci&#243;\2.%20Anyagok\KORCSM&#193;ROS-MACHOV&#193;-ZSIGMOND%20-%20DAC%20-%20NINCS%20BEADVA\CIKKHEZ%20-%201.%20hipot&#233;zi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TIBI\Doktoranduszi%20k&#233;pz&#233;s\Publik&#225;ci&#243;\2.%20Anyagok\KORCSM&#193;ROS-MACHOV&#193;-ZSIGMOND%20-%20DAC%20-%20NINCS%20BEADVA\CIKKHEZ%20-%202.%20hipot&#233;zi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Hárok1!$B$1</c:f>
              <c:strCache>
                <c:ptCount val="1"/>
                <c:pt idx="0">
                  <c:v>Not following</c:v>
                </c:pt>
              </c:strCache>
            </c:strRef>
          </c:tx>
          <c:spPr>
            <a:solidFill>
              <a:schemeClr val="bg1"/>
            </a:solidFill>
            <a:ln>
              <a:solidFill>
                <a:schemeClr val="tx1"/>
              </a:solidFill>
            </a:ln>
            <a:effectLst/>
          </c:spPr>
          <c:invertIfNegative val="0"/>
          <c:dLbls>
            <c:spPr>
              <a:noFill/>
              <a:ln>
                <a:noFill/>
              </a:ln>
              <a:effectLst/>
            </c:spPr>
            <c:txPr>
              <a:bodyPr rot="0" vert="horz"/>
              <a:lstStyle/>
              <a:p>
                <a:pPr>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Hárok1!$A$2:$A$4</c:f>
              <c:strCache>
                <c:ptCount val="3"/>
                <c:pt idx="0">
                  <c:v>Gen X</c:v>
                </c:pt>
                <c:pt idx="1">
                  <c:v>Gen Y</c:v>
                </c:pt>
                <c:pt idx="2">
                  <c:v>Gen Z</c:v>
                </c:pt>
              </c:strCache>
            </c:strRef>
          </c:cat>
          <c:val>
            <c:numRef>
              <c:f>Hárok1!$B$2:$B$4</c:f>
              <c:numCache>
                <c:formatCode>0.0%</c:formatCode>
                <c:ptCount val="3"/>
                <c:pt idx="0">
                  <c:v>0.10526315789473684</c:v>
                </c:pt>
                <c:pt idx="1">
                  <c:v>4.5454545454545456E-2</c:v>
                </c:pt>
                <c:pt idx="2">
                  <c:v>0.2857142857142857</c:v>
                </c:pt>
              </c:numCache>
            </c:numRef>
          </c:val>
          <c:extLst>
            <c:ext xmlns:c16="http://schemas.microsoft.com/office/drawing/2014/chart" uri="{C3380CC4-5D6E-409C-BE32-E72D297353CC}">
              <c16:uniqueId val="{00000000-F3D2-46EB-8F31-A6754515E07E}"/>
            </c:ext>
          </c:extLst>
        </c:ser>
        <c:ser>
          <c:idx val="1"/>
          <c:order val="1"/>
          <c:tx>
            <c:strRef>
              <c:f>Hárok1!$C$1</c:f>
              <c:strCache>
                <c:ptCount val="1"/>
                <c:pt idx="0">
                  <c:v>Following</c:v>
                </c:pt>
              </c:strCache>
            </c:strRef>
          </c:tx>
          <c:spPr>
            <a:solidFill>
              <a:schemeClr val="tx1"/>
            </a:solidFill>
            <a:ln>
              <a:noFill/>
            </a:ln>
            <a:effectLst/>
          </c:spPr>
          <c:invertIfNegative val="0"/>
          <c:dLbls>
            <c:spPr>
              <a:noFill/>
              <a:ln>
                <a:noFill/>
              </a:ln>
              <a:effectLst/>
            </c:spPr>
            <c:txPr>
              <a:bodyPr rot="0" vert="horz"/>
              <a:lstStyle/>
              <a:p>
                <a:pPr>
                  <a:defRPr>
                    <a:solidFill>
                      <a:schemeClr val="bg1"/>
                    </a:solidFill>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Hárok1!$A$2:$A$4</c:f>
              <c:strCache>
                <c:ptCount val="3"/>
                <c:pt idx="0">
                  <c:v>Gen X</c:v>
                </c:pt>
                <c:pt idx="1">
                  <c:v>Gen Y</c:v>
                </c:pt>
                <c:pt idx="2">
                  <c:v>Gen Z</c:v>
                </c:pt>
              </c:strCache>
            </c:strRef>
          </c:cat>
          <c:val>
            <c:numRef>
              <c:f>Hárok1!$C$2:$C$4</c:f>
              <c:numCache>
                <c:formatCode>0.0%</c:formatCode>
                <c:ptCount val="3"/>
                <c:pt idx="0">
                  <c:v>0.89473684210526316</c:v>
                </c:pt>
                <c:pt idx="1">
                  <c:v>0.95454545454545459</c:v>
                </c:pt>
                <c:pt idx="2">
                  <c:v>0.7142857142857143</c:v>
                </c:pt>
              </c:numCache>
            </c:numRef>
          </c:val>
          <c:extLst>
            <c:ext xmlns:c16="http://schemas.microsoft.com/office/drawing/2014/chart" uri="{C3380CC4-5D6E-409C-BE32-E72D297353CC}">
              <c16:uniqueId val="{00000001-F3D2-46EB-8F31-A6754515E07E}"/>
            </c:ext>
          </c:extLst>
        </c:ser>
        <c:dLbls>
          <c:dLblPos val="ctr"/>
          <c:showLegendKey val="0"/>
          <c:showVal val="1"/>
          <c:showCatName val="0"/>
          <c:showSerName val="0"/>
          <c:showPercent val="0"/>
          <c:showBubbleSize val="0"/>
        </c:dLbls>
        <c:gapWidth val="150"/>
        <c:overlap val="100"/>
        <c:axId val="364032808"/>
        <c:axId val="364033200"/>
      </c:barChart>
      <c:catAx>
        <c:axId val="364032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cs-CZ"/>
          </a:p>
        </c:txPr>
        <c:crossAx val="364033200"/>
        <c:crosses val="autoZero"/>
        <c:auto val="1"/>
        <c:lblAlgn val="ctr"/>
        <c:lblOffset val="100"/>
        <c:noMultiLvlLbl val="0"/>
      </c:catAx>
      <c:valAx>
        <c:axId val="3640332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cs-CZ"/>
          </a:p>
        </c:txPr>
        <c:crossAx val="364032808"/>
        <c:crosses val="autoZero"/>
        <c:crossBetween val="between"/>
        <c:majorUnit val="0.25"/>
      </c:valAx>
      <c:spPr>
        <a:noFill/>
        <a:ln>
          <a:noFill/>
        </a:ln>
        <a:effectLst/>
      </c:spPr>
    </c:plotArea>
    <c:legend>
      <c:legendPos val="b"/>
      <c:overlay val="0"/>
      <c:spPr>
        <a:noFill/>
        <a:ln>
          <a:noFill/>
        </a:ln>
        <a:effectLst/>
      </c:spPr>
      <c:txPr>
        <a:bodyPr rot="0" vert="horz"/>
        <a:lstStyle/>
        <a:p>
          <a:pPr>
            <a:defRPr/>
          </a:pPr>
          <a:endParaRPr lang="cs-CZ"/>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Palatino Linotype" panose="02040502050505030304" pitchFamily="18" charset="0"/>
          <a:cs typeface="Times New Roman" panose="02020603050405020304" pitchFamily="18" charset="0"/>
        </a:defRPr>
      </a:pPr>
      <a:endParaRPr lang="cs-CZ"/>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Hárok1!$B$6</c:f>
              <c:strCache>
                <c:ptCount val="1"/>
                <c:pt idx="0">
                  <c:v>Already bought</c:v>
                </c:pt>
              </c:strCache>
            </c:strRef>
          </c:tx>
          <c:spPr>
            <a:solidFill>
              <a:schemeClr val="tx1"/>
            </a:solidFill>
            <a:ln>
              <a:noFill/>
            </a:ln>
            <a:effectLst/>
          </c:spPr>
          <c:invertIfNegative val="0"/>
          <c:dLbls>
            <c:spPr>
              <a:noFill/>
              <a:ln>
                <a:noFill/>
              </a:ln>
              <a:effectLst/>
            </c:spPr>
            <c:txPr>
              <a:bodyPr rot="0" vert="horz"/>
              <a:lstStyle/>
              <a:p>
                <a:pPr>
                  <a:defRPr>
                    <a:solidFill>
                      <a:schemeClr val="bg1"/>
                    </a:solidFill>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Hárok1!$A$7:$A$9</c:f>
              <c:strCache>
                <c:ptCount val="3"/>
                <c:pt idx="0">
                  <c:v>Gen X</c:v>
                </c:pt>
                <c:pt idx="1">
                  <c:v>Gen Y</c:v>
                </c:pt>
                <c:pt idx="2">
                  <c:v>Gen Z</c:v>
                </c:pt>
              </c:strCache>
            </c:strRef>
          </c:cat>
          <c:val>
            <c:numRef>
              <c:f>Hárok1!$B$7:$B$9</c:f>
              <c:numCache>
                <c:formatCode>0.0%</c:formatCode>
                <c:ptCount val="3"/>
                <c:pt idx="0">
                  <c:v>0.13333333333333333</c:v>
                </c:pt>
                <c:pt idx="1">
                  <c:v>0.2462686567164179</c:v>
                </c:pt>
                <c:pt idx="2">
                  <c:v>0.37588652482269502</c:v>
                </c:pt>
              </c:numCache>
            </c:numRef>
          </c:val>
          <c:extLst>
            <c:ext xmlns:c16="http://schemas.microsoft.com/office/drawing/2014/chart" uri="{C3380CC4-5D6E-409C-BE32-E72D297353CC}">
              <c16:uniqueId val="{00000000-6E54-4BCD-983E-3A51C0E16D19}"/>
            </c:ext>
          </c:extLst>
        </c:ser>
        <c:ser>
          <c:idx val="1"/>
          <c:order val="1"/>
          <c:tx>
            <c:strRef>
              <c:f>Hárok1!$C$6</c:f>
              <c:strCache>
                <c:ptCount val="1"/>
                <c:pt idx="0">
                  <c:v>Already got</c:v>
                </c:pt>
              </c:strCache>
            </c:strRef>
          </c:tx>
          <c:spPr>
            <a:solidFill>
              <a:schemeClr val="tx1">
                <a:lumMod val="50000"/>
                <a:lumOff val="50000"/>
              </a:schemeClr>
            </a:solidFill>
            <a:ln>
              <a:noFill/>
            </a:ln>
            <a:effectLst/>
          </c:spPr>
          <c:invertIfNegative val="0"/>
          <c:dLbls>
            <c:spPr>
              <a:noFill/>
              <a:ln>
                <a:noFill/>
              </a:ln>
              <a:effectLst/>
            </c:spPr>
            <c:txPr>
              <a:bodyPr rot="0" vert="horz"/>
              <a:lstStyle/>
              <a:p>
                <a:pPr>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Hárok1!$A$7:$A$9</c:f>
              <c:strCache>
                <c:ptCount val="3"/>
                <c:pt idx="0">
                  <c:v>Gen X</c:v>
                </c:pt>
                <c:pt idx="1">
                  <c:v>Gen Y</c:v>
                </c:pt>
                <c:pt idx="2">
                  <c:v>Gen Z</c:v>
                </c:pt>
              </c:strCache>
            </c:strRef>
          </c:cat>
          <c:val>
            <c:numRef>
              <c:f>Hárok1!$C$7:$C$9</c:f>
              <c:numCache>
                <c:formatCode>0.0%</c:formatCode>
                <c:ptCount val="3"/>
                <c:pt idx="0">
                  <c:v>0.35555555555555557</c:v>
                </c:pt>
                <c:pt idx="1">
                  <c:v>0.2537313432835821</c:v>
                </c:pt>
                <c:pt idx="2">
                  <c:v>0.1773049645390071</c:v>
                </c:pt>
              </c:numCache>
            </c:numRef>
          </c:val>
          <c:extLst>
            <c:ext xmlns:c16="http://schemas.microsoft.com/office/drawing/2014/chart" uri="{C3380CC4-5D6E-409C-BE32-E72D297353CC}">
              <c16:uniqueId val="{00000001-6E54-4BCD-983E-3A51C0E16D19}"/>
            </c:ext>
          </c:extLst>
        </c:ser>
        <c:ser>
          <c:idx val="2"/>
          <c:order val="2"/>
          <c:tx>
            <c:strRef>
              <c:f>Hárok1!$D$6</c:f>
              <c:strCache>
                <c:ptCount val="1"/>
                <c:pt idx="0">
                  <c:v>Bougth and got</c:v>
                </c:pt>
              </c:strCache>
            </c:strRef>
          </c:tx>
          <c:spPr>
            <a:solidFill>
              <a:schemeClr val="bg1">
                <a:lumMod val="85000"/>
              </a:schemeClr>
            </a:solidFill>
            <a:ln>
              <a:noFill/>
            </a:ln>
            <a:effectLst/>
          </c:spPr>
          <c:invertIfNegative val="0"/>
          <c:dLbls>
            <c:spPr>
              <a:noFill/>
              <a:ln>
                <a:noFill/>
              </a:ln>
              <a:effectLst/>
            </c:spPr>
            <c:txPr>
              <a:bodyPr rot="0" vert="horz"/>
              <a:lstStyle/>
              <a:p>
                <a:pPr>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Hárok1!$A$7:$A$9</c:f>
              <c:strCache>
                <c:ptCount val="3"/>
                <c:pt idx="0">
                  <c:v>Gen X</c:v>
                </c:pt>
                <c:pt idx="1">
                  <c:v>Gen Y</c:v>
                </c:pt>
                <c:pt idx="2">
                  <c:v>Gen Z</c:v>
                </c:pt>
              </c:strCache>
            </c:strRef>
          </c:cat>
          <c:val>
            <c:numRef>
              <c:f>Hárok1!$D$7:$D$9</c:f>
              <c:numCache>
                <c:formatCode>0.0%</c:formatCode>
                <c:ptCount val="3"/>
                <c:pt idx="0">
                  <c:v>0.3925925925925926</c:v>
                </c:pt>
                <c:pt idx="1">
                  <c:v>0.32089552238805968</c:v>
                </c:pt>
                <c:pt idx="2">
                  <c:v>0.14184397163120568</c:v>
                </c:pt>
              </c:numCache>
            </c:numRef>
          </c:val>
          <c:extLst>
            <c:ext xmlns:c16="http://schemas.microsoft.com/office/drawing/2014/chart" uri="{C3380CC4-5D6E-409C-BE32-E72D297353CC}">
              <c16:uniqueId val="{00000002-6E54-4BCD-983E-3A51C0E16D19}"/>
            </c:ext>
          </c:extLst>
        </c:ser>
        <c:ser>
          <c:idx val="3"/>
          <c:order val="3"/>
          <c:tx>
            <c:strRef>
              <c:f>Hárok1!$E$6</c:f>
              <c:strCache>
                <c:ptCount val="1"/>
                <c:pt idx="0">
                  <c:v>Never bought or got</c:v>
                </c:pt>
              </c:strCache>
            </c:strRef>
          </c:tx>
          <c:spPr>
            <a:solidFill>
              <a:schemeClr val="bg1"/>
            </a:solidFill>
            <a:ln>
              <a:solidFill>
                <a:schemeClr val="tx1"/>
              </a:solidFill>
            </a:ln>
            <a:effectLst/>
          </c:spPr>
          <c:invertIfNegative val="0"/>
          <c:dLbls>
            <c:spPr>
              <a:noFill/>
              <a:ln>
                <a:noFill/>
              </a:ln>
              <a:effectLst/>
            </c:spPr>
            <c:txPr>
              <a:bodyPr rot="0" vert="horz"/>
              <a:lstStyle/>
              <a:p>
                <a:pPr>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Hárok1!$A$7:$A$9</c:f>
              <c:strCache>
                <c:ptCount val="3"/>
                <c:pt idx="0">
                  <c:v>Gen X</c:v>
                </c:pt>
                <c:pt idx="1">
                  <c:v>Gen Y</c:v>
                </c:pt>
                <c:pt idx="2">
                  <c:v>Gen Z</c:v>
                </c:pt>
              </c:strCache>
            </c:strRef>
          </c:cat>
          <c:val>
            <c:numRef>
              <c:f>Hárok1!$E$7:$E$9</c:f>
              <c:numCache>
                <c:formatCode>0.0%</c:formatCode>
                <c:ptCount val="3"/>
                <c:pt idx="0">
                  <c:v>0.11851851851851852</c:v>
                </c:pt>
                <c:pt idx="1">
                  <c:v>0.17910447761194029</c:v>
                </c:pt>
                <c:pt idx="2">
                  <c:v>0.30496453900709219</c:v>
                </c:pt>
              </c:numCache>
            </c:numRef>
          </c:val>
          <c:extLst>
            <c:ext xmlns:c16="http://schemas.microsoft.com/office/drawing/2014/chart" uri="{C3380CC4-5D6E-409C-BE32-E72D297353CC}">
              <c16:uniqueId val="{00000003-6E54-4BCD-983E-3A51C0E16D19}"/>
            </c:ext>
          </c:extLst>
        </c:ser>
        <c:dLbls>
          <c:dLblPos val="ctr"/>
          <c:showLegendKey val="0"/>
          <c:showVal val="1"/>
          <c:showCatName val="0"/>
          <c:showSerName val="0"/>
          <c:showPercent val="0"/>
          <c:showBubbleSize val="0"/>
        </c:dLbls>
        <c:gapWidth val="150"/>
        <c:overlap val="100"/>
        <c:axId val="363531112"/>
        <c:axId val="363531504"/>
      </c:barChart>
      <c:catAx>
        <c:axId val="363531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cs-CZ"/>
          </a:p>
        </c:txPr>
        <c:crossAx val="363531504"/>
        <c:crosses val="autoZero"/>
        <c:auto val="1"/>
        <c:lblAlgn val="ctr"/>
        <c:lblOffset val="100"/>
        <c:noMultiLvlLbl val="0"/>
      </c:catAx>
      <c:valAx>
        <c:axId val="36353150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cs-CZ"/>
          </a:p>
        </c:txPr>
        <c:crossAx val="363531112"/>
        <c:crosses val="autoZero"/>
        <c:crossBetween val="between"/>
        <c:majorUnit val="0.25"/>
      </c:valAx>
      <c:spPr>
        <a:noFill/>
        <a:ln>
          <a:noFill/>
        </a:ln>
        <a:effectLst/>
      </c:spPr>
    </c:plotArea>
    <c:legend>
      <c:legendPos val="b"/>
      <c:overlay val="0"/>
      <c:spPr>
        <a:noFill/>
        <a:ln>
          <a:noFill/>
        </a:ln>
        <a:effectLst/>
      </c:spPr>
      <c:txPr>
        <a:bodyPr rot="0" vert="horz"/>
        <a:lstStyle/>
        <a:p>
          <a:pPr>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Palatino Linotype" panose="02040502050505030304" pitchFamily="18" charset="0"/>
          <a:cs typeface="Times New Roman" panose="02020603050405020304" pitchFamily="18" charset="0"/>
        </a:defRPr>
      </a:pPr>
      <a:endParaRPr lang="cs-CZ"/>
    </a:p>
  </c:txPr>
  <c:externalData r:id="rId2">
    <c:autoUpdate val="0"/>
  </c:externalData>
</c:chartSpac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B3706721C97542AB29CEA8468697F1" ma:contentTypeVersion="13" ma:contentTypeDescription="Vytvoří nový dokument" ma:contentTypeScope="" ma:versionID="b09f1e503ed41e0f947fca5f3e1be720">
  <xsd:schema xmlns:xsd="http://www.w3.org/2001/XMLSchema" xmlns:xs="http://www.w3.org/2001/XMLSchema" xmlns:p="http://schemas.microsoft.com/office/2006/metadata/properties" xmlns:ns3="7fcca347-276a-49af-a7dd-7df7f35243d3" xmlns:ns4="5772481f-3401-455f-972b-773c6a8fcefe" targetNamespace="http://schemas.microsoft.com/office/2006/metadata/properties" ma:root="true" ma:fieldsID="e04e1c698a229ff44ff02b534a90ce4d" ns3:_="" ns4:_="">
    <xsd:import namespace="7fcca347-276a-49af-a7dd-7df7f35243d3"/>
    <xsd:import namespace="5772481f-3401-455f-972b-773c6a8fce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ca347-276a-49af-a7dd-7df7f35243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2481f-3401-455f-972b-773c6a8fcefe"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E6ABB-1D57-4CC8-BAED-1EBC37A261A1}">
  <ds:schemaRefs>
    <ds:schemaRef ds:uri="7fcca347-276a-49af-a7dd-7df7f35243d3"/>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5772481f-3401-455f-972b-773c6a8fcefe"/>
    <ds:schemaRef ds:uri="http://purl.org/dc/dcmitype/"/>
    <ds:schemaRef ds:uri="http://purl.org/dc/terms/"/>
  </ds:schemaRefs>
</ds:datastoreItem>
</file>

<file path=customXml/itemProps2.xml><?xml version="1.0" encoding="utf-8"?>
<ds:datastoreItem xmlns:ds="http://schemas.openxmlformats.org/officeDocument/2006/customXml" ds:itemID="{C35D1E60-1EE9-4D22-822C-88EF80781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ca347-276a-49af-a7dd-7df7f35243d3"/>
    <ds:schemaRef ds:uri="5772481f-3401-455f-972b-773c6a8fc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A68A9-9F4F-4E51-9E14-8A7B596D3201}">
  <ds:schemaRefs>
    <ds:schemaRef ds:uri="http://schemas.microsoft.com/sharepoint/v3/contenttype/forms"/>
  </ds:schemaRefs>
</ds:datastoreItem>
</file>

<file path=customXml/itemProps4.xml><?xml version="1.0" encoding="utf-8"?>
<ds:datastoreItem xmlns:ds="http://schemas.openxmlformats.org/officeDocument/2006/customXml" ds:itemID="{42FE16E2-3C4C-42E2-A31E-E9F48D6C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hed_template.dotx</Template>
  <TotalTime>389</TotalTime>
  <Pages>12</Pages>
  <Words>5597</Words>
  <Characters>33028</Characters>
  <Application>Microsoft Office Word</Application>
  <DocSecurity>0</DocSecurity>
  <Lines>275</Lines>
  <Paragraphs>77</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38548</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zsigm</dc:creator>
  <cp:keywords/>
  <dc:description/>
  <cp:lastModifiedBy>Mačí Jan</cp:lastModifiedBy>
  <cp:revision>66</cp:revision>
  <dcterms:created xsi:type="dcterms:W3CDTF">2021-11-15T18:31:00Z</dcterms:created>
  <dcterms:modified xsi:type="dcterms:W3CDTF">2022-05-25T10:58:00Z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id="qHJ4Jj7U"/&gt;&lt;style id="http://www.zotero.org/styles/multidisciplinary-digital-publishing-institute"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y fmtid="{D5CDD505-2E9C-101B-9397-08002B2CF9AE}" pid="4" name="ContentTypeId">
    <vt:lpwstr>0x01010067B3706721C97542AB29CEA8468697F1</vt:lpwstr>
  </property>
</Properties>
</file>