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1B6D" w14:textId="501A9963" w:rsidR="00101D43" w:rsidRPr="003E29C0" w:rsidRDefault="006F36A2" w:rsidP="009F7957">
      <w:pPr>
        <w:pStyle w:val="HED-title"/>
        <w:spacing w:line="240" w:lineRule="atLeast"/>
        <w:rPr>
          <w:lang w:val="en-GB"/>
        </w:rPr>
      </w:pPr>
      <w:r w:rsidRPr="003E29C0">
        <w:rPr>
          <w:lang w:val="en-GB"/>
        </w:rPr>
        <w:t>Activities of Organizations in the Field of Social Responsibility in the Context of Human Resource Management with a Focus on Age Management</w:t>
      </w:r>
    </w:p>
    <w:p w14:paraId="5CF5F0CC" w14:textId="58BA12A1" w:rsidR="00101D43" w:rsidRPr="003E29C0" w:rsidRDefault="006F36A2" w:rsidP="009F7957">
      <w:pPr>
        <w:pStyle w:val="HED-authors"/>
        <w:rPr>
          <w:lang w:val="en-GB"/>
        </w:rPr>
      </w:pPr>
      <w:r w:rsidRPr="003E29C0">
        <w:rPr>
          <w:lang w:val="en-GB"/>
        </w:rPr>
        <w:t>Pavla VRABCOVÁ</w:t>
      </w:r>
      <w:r w:rsidR="00101D43" w:rsidRPr="003E29C0">
        <w:rPr>
          <w:vertAlign w:val="superscript"/>
          <w:lang w:val="en-GB"/>
        </w:rPr>
        <w:t>1</w:t>
      </w:r>
      <w:r w:rsidR="00560D9B" w:rsidRPr="00560D9B">
        <w:rPr>
          <w:lang w:val="en-GB"/>
        </w:rPr>
        <w:t>*</w:t>
      </w:r>
      <w:r w:rsidRPr="003E29C0">
        <w:rPr>
          <w:lang w:val="en-GB"/>
        </w:rPr>
        <w:t xml:space="preserve"> and</w:t>
      </w:r>
      <w:r w:rsidR="00101D43" w:rsidRPr="003E29C0">
        <w:rPr>
          <w:lang w:val="en-GB"/>
        </w:rPr>
        <w:t xml:space="preserve"> </w:t>
      </w:r>
      <w:r w:rsidRPr="003E29C0">
        <w:rPr>
          <w:lang w:val="en-GB"/>
        </w:rPr>
        <w:t>Hana URBANCOVÁ</w:t>
      </w:r>
      <w:r w:rsidRPr="003E29C0">
        <w:rPr>
          <w:vertAlign w:val="superscript"/>
          <w:lang w:val="en-GB"/>
        </w:rPr>
        <w:t>2</w:t>
      </w:r>
    </w:p>
    <w:p w14:paraId="6223B7E5" w14:textId="054F00D2" w:rsidR="00101D43" w:rsidRPr="003E29C0" w:rsidRDefault="00101D43" w:rsidP="009F7957">
      <w:pPr>
        <w:pStyle w:val="HED-affiliationandcorrespondece"/>
        <w:rPr>
          <w:lang w:val="en-GB"/>
        </w:rPr>
      </w:pPr>
      <w:r w:rsidRPr="003E29C0">
        <w:rPr>
          <w:vertAlign w:val="superscript"/>
          <w:lang w:val="en-GB"/>
        </w:rPr>
        <w:t>1</w:t>
      </w:r>
      <w:r w:rsidRPr="003E29C0">
        <w:rPr>
          <w:lang w:val="en-GB"/>
        </w:rPr>
        <w:tab/>
      </w:r>
      <w:r w:rsidR="006F36A2" w:rsidRPr="003E29C0">
        <w:rPr>
          <w:lang w:val="en-GB"/>
        </w:rPr>
        <w:t>Czech University of Life Sciences Prague, Prague, Czech Republic; vrabcovapavla@gmail.com</w:t>
      </w:r>
    </w:p>
    <w:p w14:paraId="0F52BAB7" w14:textId="0E64EAD1" w:rsidR="00101D43" w:rsidRPr="003E29C0" w:rsidRDefault="00101D43" w:rsidP="009F7957">
      <w:pPr>
        <w:pStyle w:val="HED-affiliationandcorrespondece"/>
        <w:rPr>
          <w:lang w:val="en-GB"/>
        </w:rPr>
      </w:pPr>
      <w:r w:rsidRPr="003E29C0">
        <w:rPr>
          <w:szCs w:val="20"/>
          <w:vertAlign w:val="superscript"/>
          <w:lang w:val="en-GB"/>
        </w:rPr>
        <w:t>2</w:t>
      </w:r>
      <w:r w:rsidRPr="003E29C0">
        <w:rPr>
          <w:szCs w:val="20"/>
          <w:lang w:val="en-GB"/>
        </w:rPr>
        <w:tab/>
      </w:r>
      <w:r w:rsidR="006F36A2" w:rsidRPr="003E29C0">
        <w:rPr>
          <w:szCs w:val="20"/>
          <w:lang w:val="en-GB"/>
        </w:rPr>
        <w:t>University of Economics and Management, Prague, Czech Republic; hana.urbancova@vsem.cz</w:t>
      </w:r>
    </w:p>
    <w:p w14:paraId="73D1AEE2" w14:textId="78CEF956" w:rsidR="00101D43" w:rsidRPr="003E29C0" w:rsidRDefault="00101D43" w:rsidP="007B24D2">
      <w:pPr>
        <w:pStyle w:val="HED-affiliationandcorrespondece"/>
        <w:rPr>
          <w:lang w:val="en-GB"/>
        </w:rPr>
      </w:pPr>
      <w:r w:rsidRPr="003E29C0">
        <w:rPr>
          <w:b/>
          <w:lang w:val="en-GB"/>
        </w:rPr>
        <w:t>*</w:t>
      </w:r>
      <w:r w:rsidRPr="003E29C0">
        <w:rPr>
          <w:lang w:val="en-GB"/>
        </w:rPr>
        <w:tab/>
        <w:t>Correspond</w:t>
      </w:r>
      <w:r w:rsidR="00616083" w:rsidRPr="003E29C0">
        <w:rPr>
          <w:lang w:val="en-GB"/>
        </w:rPr>
        <w:t>ing author</w:t>
      </w:r>
      <w:r w:rsidRPr="003E29C0">
        <w:rPr>
          <w:lang w:val="en-GB"/>
        </w:rPr>
        <w:t xml:space="preserve">: </w:t>
      </w:r>
      <w:r w:rsidR="006F36A2" w:rsidRPr="003E29C0">
        <w:rPr>
          <w:lang w:val="en-GB"/>
        </w:rPr>
        <w:t>vrabcovapavla@gmail.com</w:t>
      </w:r>
    </w:p>
    <w:p w14:paraId="4E2EFAFA" w14:textId="2C129C8A" w:rsidR="00101D43" w:rsidRPr="003E29C0" w:rsidRDefault="00101D43" w:rsidP="003E29C0">
      <w:pPr>
        <w:pStyle w:val="HED-abstract"/>
        <w:rPr>
          <w:color w:val="auto"/>
          <w:lang w:val="en-GB"/>
        </w:rPr>
      </w:pPr>
      <w:r w:rsidRPr="003E29C0">
        <w:rPr>
          <w:b/>
          <w:lang w:val="en-GB"/>
        </w:rPr>
        <w:t>Abstract:</w:t>
      </w:r>
      <w:r w:rsidRPr="003E29C0">
        <w:rPr>
          <w:lang w:val="en-GB"/>
        </w:rPr>
        <w:t xml:space="preserve"> </w:t>
      </w:r>
      <w:r w:rsidR="00E74969" w:rsidRPr="00AA2CA3">
        <w:rPr>
          <w:lang w:val="en-GB"/>
        </w:rPr>
        <w:t xml:space="preserve">Organizations are expected to be more actively engaged in the current issues within their respective focus field, including, but not limited to, social responsibility. The traditional business approach ignores social issues in management objectives. Determining the direction of the age management development is a criterion for the successful implementation of the concept of corporate social responsibility. Strategic documents support the implementation of age management at the society-wide level but not at the organizational level. Age management represents a specialized approach to management while taking into account the current </w:t>
      </w:r>
      <w:proofErr w:type="spellStart"/>
      <w:r w:rsidR="00E74969" w:rsidRPr="00AA2CA3">
        <w:rPr>
          <w:lang w:val="en-GB"/>
        </w:rPr>
        <w:t>unfavorable</w:t>
      </w:r>
      <w:proofErr w:type="spellEnd"/>
      <w:r w:rsidR="00E74969" w:rsidRPr="00AA2CA3">
        <w:rPr>
          <w:lang w:val="en-GB"/>
        </w:rPr>
        <w:t xml:space="preserve"> demographic conditions. The main aim of the paper is to identify problem areas of age management in the time of COVID-19 in the selected organizations in the Czech Republic and to make recommendations for their optimization. The research is based on the quantitative questionnaire survey (</w:t>
      </w:r>
      <w:r w:rsidR="00E74969" w:rsidRPr="00AA2CA3">
        <w:rPr>
          <w:i/>
          <w:iCs/>
          <w:lang w:val="en-GB"/>
        </w:rPr>
        <w:t>n</w:t>
      </w:r>
      <w:r w:rsidR="00E74969" w:rsidRPr="00AA2CA3">
        <w:rPr>
          <w:lang w:val="en-GB"/>
        </w:rPr>
        <w:t xml:space="preserve"> = 183) and the statistical evaluation of data while looking for relations between the application of management practices with respect to the age of employees and identifying factors of organizations. The key findings of the study reveal that the greatest benefit of collaboration among all generations of employees in organizations lies in improving employee motivation and performance (67%), followed by the increased performance (59%).</w:t>
      </w:r>
    </w:p>
    <w:p w14:paraId="7B5F31CB" w14:textId="78E30014" w:rsidR="00101D43" w:rsidRPr="003E29C0" w:rsidRDefault="00101D43" w:rsidP="005C6338">
      <w:pPr>
        <w:pStyle w:val="HED-keywordsandJEL"/>
        <w:rPr>
          <w:lang w:val="en-GB"/>
        </w:rPr>
      </w:pPr>
      <w:r w:rsidRPr="003E29C0">
        <w:rPr>
          <w:b/>
          <w:lang w:val="en-GB"/>
        </w:rPr>
        <w:t>Keywords:</w:t>
      </w:r>
      <w:r w:rsidR="00805CD6" w:rsidRPr="003E29C0">
        <w:rPr>
          <w:lang w:val="en-GB"/>
        </w:rPr>
        <w:t xml:space="preserve"> corporate social responsibility; COVID-19; employee care; organizations in the Czech Republic; population ageing; social sustainability</w:t>
      </w:r>
    </w:p>
    <w:p w14:paraId="0E0624F2" w14:textId="5DEE2141" w:rsidR="00101D43" w:rsidRPr="003E29C0" w:rsidRDefault="00101D43" w:rsidP="005C6338">
      <w:pPr>
        <w:pStyle w:val="HED-keywordsandJEL"/>
        <w:rPr>
          <w:lang w:val="en-GB"/>
        </w:rPr>
      </w:pPr>
      <w:r w:rsidRPr="003E29C0">
        <w:rPr>
          <w:b/>
          <w:lang w:val="en-GB"/>
        </w:rPr>
        <w:t>JEL Classification:</w:t>
      </w:r>
      <w:r w:rsidRPr="003E29C0">
        <w:rPr>
          <w:lang w:val="en-GB"/>
        </w:rPr>
        <w:t xml:space="preserve"> </w:t>
      </w:r>
      <w:r w:rsidR="00805CD6" w:rsidRPr="003E29C0">
        <w:rPr>
          <w:lang w:val="en-GB"/>
        </w:rPr>
        <w:t>M10; M14</w:t>
      </w:r>
    </w:p>
    <w:p w14:paraId="0A71F291" w14:textId="470823EF" w:rsidR="00101D43" w:rsidRPr="003E29C0" w:rsidRDefault="00101D43" w:rsidP="009F7957">
      <w:pPr>
        <w:pStyle w:val="HED-heading1"/>
        <w:rPr>
          <w:lang w:val="en-GB"/>
        </w:rPr>
      </w:pPr>
      <w:r w:rsidRPr="003E29C0">
        <w:rPr>
          <w:lang w:val="en-GB" w:eastAsia="zh-CN"/>
        </w:rPr>
        <w:t xml:space="preserve">1. </w:t>
      </w:r>
      <w:r w:rsidRPr="003E29C0">
        <w:rPr>
          <w:lang w:val="en-GB"/>
        </w:rPr>
        <w:t>Introduction</w:t>
      </w:r>
    </w:p>
    <w:p w14:paraId="507359F3" w14:textId="4C7F10EF" w:rsidR="00FD4FE5" w:rsidRPr="003E29C0" w:rsidRDefault="00805CD6" w:rsidP="009F7957">
      <w:pPr>
        <w:pStyle w:val="HED-text"/>
        <w:rPr>
          <w:spacing w:val="-2"/>
          <w:lang w:val="en-GB"/>
        </w:rPr>
      </w:pPr>
      <w:r w:rsidRPr="003E29C0">
        <w:rPr>
          <w:spacing w:val="-2"/>
          <w:lang w:val="en-GB"/>
        </w:rPr>
        <w:t>Sustainable operations of organizations can strengthen their competitive position (</w:t>
      </w:r>
      <w:proofErr w:type="spellStart"/>
      <w:r w:rsidRPr="003E29C0">
        <w:rPr>
          <w:spacing w:val="-2"/>
          <w:lang w:val="en-GB"/>
        </w:rPr>
        <w:t>Lorincová</w:t>
      </w:r>
      <w:proofErr w:type="spellEnd"/>
      <w:r w:rsidRPr="003E29C0">
        <w:rPr>
          <w:spacing w:val="-2"/>
          <w:lang w:val="en-GB"/>
        </w:rPr>
        <w:t xml:space="preserve"> et al., 2018; Chalupa</w:t>
      </w:r>
      <w:r w:rsidR="006A48DD" w:rsidRPr="003E29C0">
        <w:rPr>
          <w:spacing w:val="-2"/>
          <w:lang w:val="en-GB"/>
        </w:rPr>
        <w:t xml:space="preserve"> </w:t>
      </w:r>
      <w:r w:rsidR="006A48DD" w:rsidRPr="003E29C0">
        <w:rPr>
          <w:szCs w:val="18"/>
          <w:lang w:val="en-GB"/>
        </w:rPr>
        <w:t>&amp;</w:t>
      </w:r>
      <w:r w:rsidRPr="003E29C0">
        <w:rPr>
          <w:spacing w:val="-2"/>
          <w:lang w:val="en-GB"/>
        </w:rPr>
        <w:t xml:space="preserve"> </w:t>
      </w:r>
      <w:proofErr w:type="spellStart"/>
      <w:r w:rsidRPr="003E29C0">
        <w:rPr>
          <w:spacing w:val="-2"/>
          <w:lang w:val="en-GB"/>
        </w:rPr>
        <w:t>Petříček</w:t>
      </w:r>
      <w:proofErr w:type="spellEnd"/>
      <w:r w:rsidRPr="003E29C0">
        <w:rPr>
          <w:spacing w:val="-2"/>
          <w:lang w:val="en-GB"/>
        </w:rPr>
        <w:t xml:space="preserve">, 2020; </w:t>
      </w:r>
      <w:proofErr w:type="spellStart"/>
      <w:r w:rsidRPr="003E29C0">
        <w:rPr>
          <w:spacing w:val="-2"/>
          <w:lang w:val="en-GB"/>
        </w:rPr>
        <w:t>Pacana</w:t>
      </w:r>
      <w:proofErr w:type="spellEnd"/>
      <w:r w:rsidRPr="003E29C0">
        <w:rPr>
          <w:spacing w:val="-2"/>
          <w:lang w:val="en-GB"/>
        </w:rPr>
        <w:t xml:space="preserve"> et al., 2020; </w:t>
      </w:r>
      <w:proofErr w:type="spellStart"/>
      <w:r w:rsidRPr="003E29C0">
        <w:rPr>
          <w:spacing w:val="-2"/>
          <w:lang w:val="en-GB"/>
        </w:rPr>
        <w:t>Jankelová</w:t>
      </w:r>
      <w:proofErr w:type="spellEnd"/>
      <w:r w:rsidR="006A48DD" w:rsidRPr="003E29C0">
        <w:rPr>
          <w:spacing w:val="-2"/>
          <w:lang w:val="en-GB"/>
        </w:rPr>
        <w:t xml:space="preserve"> </w:t>
      </w:r>
      <w:r w:rsidR="006A48DD" w:rsidRPr="003E29C0">
        <w:rPr>
          <w:szCs w:val="18"/>
          <w:lang w:val="en-GB"/>
        </w:rPr>
        <w:t>&amp;</w:t>
      </w:r>
      <w:r w:rsidRPr="003E29C0">
        <w:rPr>
          <w:spacing w:val="-2"/>
          <w:lang w:val="en-GB"/>
        </w:rPr>
        <w:t xml:space="preserve"> </w:t>
      </w:r>
      <w:proofErr w:type="spellStart"/>
      <w:r w:rsidRPr="003E29C0">
        <w:rPr>
          <w:spacing w:val="-2"/>
          <w:lang w:val="en-GB"/>
        </w:rPr>
        <w:t>Joniaková</w:t>
      </w:r>
      <w:proofErr w:type="spellEnd"/>
      <w:r w:rsidRPr="003E29C0">
        <w:rPr>
          <w:spacing w:val="-2"/>
          <w:lang w:val="en-GB"/>
        </w:rPr>
        <w:t>, 2021). Organizations that adopt optimal sustainable human resource management and intergenerational learning benefit from maintaining knowledge continuity, using the strengths and potential of different age groups (</w:t>
      </w:r>
      <w:proofErr w:type="spellStart"/>
      <w:r w:rsidRPr="003E29C0">
        <w:rPr>
          <w:spacing w:val="-2"/>
          <w:lang w:val="en-GB"/>
        </w:rPr>
        <w:t>Blomé</w:t>
      </w:r>
      <w:proofErr w:type="spellEnd"/>
      <w:r w:rsidRPr="003E29C0">
        <w:rPr>
          <w:spacing w:val="-2"/>
          <w:lang w:val="en-GB"/>
        </w:rPr>
        <w:t xml:space="preserve"> et al., 2018), good workplace relationships (Atkinson</w:t>
      </w:r>
      <w:r w:rsidR="006B2298" w:rsidRPr="003E29C0">
        <w:rPr>
          <w:spacing w:val="-2"/>
          <w:lang w:val="en-GB"/>
        </w:rPr>
        <w:t xml:space="preserve"> </w:t>
      </w:r>
      <w:r w:rsidR="006B2298" w:rsidRPr="003E29C0">
        <w:rPr>
          <w:szCs w:val="18"/>
          <w:lang w:val="en-GB"/>
        </w:rPr>
        <w:t>&amp;</w:t>
      </w:r>
      <w:r w:rsidRPr="003E29C0">
        <w:rPr>
          <w:spacing w:val="-2"/>
          <w:lang w:val="en-GB"/>
        </w:rPr>
        <w:t xml:space="preserve"> Sandiford, 2016), overcoming negative age stereotypes (</w:t>
      </w:r>
      <w:proofErr w:type="spellStart"/>
      <w:r w:rsidRPr="003E29C0">
        <w:rPr>
          <w:spacing w:val="-2"/>
          <w:lang w:val="en-GB"/>
        </w:rPr>
        <w:t>Dordoni</w:t>
      </w:r>
      <w:proofErr w:type="spellEnd"/>
      <w:r w:rsidR="006B2298" w:rsidRPr="003E29C0">
        <w:rPr>
          <w:spacing w:val="-2"/>
          <w:lang w:val="en-GB"/>
        </w:rPr>
        <w:t xml:space="preserve"> &amp;</w:t>
      </w:r>
      <w:r w:rsidRPr="003E29C0">
        <w:rPr>
          <w:spacing w:val="-2"/>
          <w:lang w:val="en-GB"/>
        </w:rPr>
        <w:t xml:space="preserve"> </w:t>
      </w:r>
      <w:proofErr w:type="spellStart"/>
      <w:r w:rsidRPr="003E29C0">
        <w:rPr>
          <w:spacing w:val="-2"/>
          <w:lang w:val="en-GB"/>
        </w:rPr>
        <w:t>Argentero</w:t>
      </w:r>
      <w:proofErr w:type="spellEnd"/>
      <w:r w:rsidRPr="003E29C0">
        <w:rPr>
          <w:spacing w:val="-2"/>
          <w:lang w:val="en-GB"/>
        </w:rPr>
        <w:t>, 2015) and age as well as other discrimination. The implementation of age management is</w:t>
      </w:r>
      <w:r w:rsidR="0020542A" w:rsidRPr="003E29C0">
        <w:rPr>
          <w:spacing w:val="-2"/>
          <w:lang w:val="en-GB"/>
        </w:rPr>
        <w:t> </w:t>
      </w:r>
      <w:r w:rsidRPr="003E29C0">
        <w:rPr>
          <w:spacing w:val="-2"/>
          <w:lang w:val="en-GB"/>
        </w:rPr>
        <w:t>a</w:t>
      </w:r>
      <w:r w:rsidR="0020542A" w:rsidRPr="003E29C0">
        <w:rPr>
          <w:spacing w:val="-2"/>
          <w:lang w:val="en-GB"/>
        </w:rPr>
        <w:t> </w:t>
      </w:r>
      <w:r w:rsidRPr="003E29C0">
        <w:rPr>
          <w:spacing w:val="-2"/>
          <w:lang w:val="en-GB"/>
        </w:rPr>
        <w:t xml:space="preserve">long-term process and starts with the awareness of </w:t>
      </w:r>
      <w:r w:rsidR="002253D3" w:rsidRPr="003E29C0">
        <w:rPr>
          <w:spacing w:val="-2"/>
          <w:lang w:val="en-GB"/>
        </w:rPr>
        <w:t xml:space="preserve">the </w:t>
      </w:r>
      <w:r w:rsidRPr="003E29C0">
        <w:rPr>
          <w:spacing w:val="-2"/>
          <w:lang w:val="en-GB"/>
        </w:rPr>
        <w:t>organi</w:t>
      </w:r>
      <w:r w:rsidR="002253D3" w:rsidRPr="003E29C0">
        <w:rPr>
          <w:spacing w:val="-2"/>
          <w:lang w:val="en-GB"/>
        </w:rPr>
        <w:t>z</w:t>
      </w:r>
      <w:r w:rsidRPr="003E29C0">
        <w:rPr>
          <w:spacing w:val="-2"/>
          <w:lang w:val="en-GB"/>
        </w:rPr>
        <w:t>ation´s management; yet it is still at the beginning in the specific conditions of individual organizations in all economic sectors (</w:t>
      </w:r>
      <w:proofErr w:type="spellStart"/>
      <w:r w:rsidRPr="003E29C0">
        <w:rPr>
          <w:spacing w:val="-2"/>
          <w:lang w:val="en-GB"/>
        </w:rPr>
        <w:t>Egdell</w:t>
      </w:r>
      <w:proofErr w:type="spellEnd"/>
      <w:r w:rsidRPr="003E29C0">
        <w:rPr>
          <w:spacing w:val="-2"/>
          <w:lang w:val="en-GB"/>
        </w:rPr>
        <w:t xml:space="preserve"> et al., 2020). It needs to be emphasized that age management is concerned with </w:t>
      </w:r>
      <w:r w:rsidRPr="003E29C0">
        <w:rPr>
          <w:spacing w:val="-2"/>
          <w:lang w:val="en-GB"/>
        </w:rPr>
        <w:lastRenderedPageBreak/>
        <w:t xml:space="preserve">all age categories of employees. The 50+ group is currently crucial and decisive in view of the </w:t>
      </w:r>
      <w:proofErr w:type="spellStart"/>
      <w:r w:rsidRPr="003E29C0">
        <w:rPr>
          <w:spacing w:val="-2"/>
          <w:lang w:val="en-GB"/>
        </w:rPr>
        <w:t>unfavorable</w:t>
      </w:r>
      <w:proofErr w:type="spellEnd"/>
      <w:r w:rsidRPr="003E29C0">
        <w:rPr>
          <w:spacing w:val="-2"/>
          <w:lang w:val="en-GB"/>
        </w:rPr>
        <w:t xml:space="preserve"> demographic development (</w:t>
      </w:r>
      <w:proofErr w:type="spellStart"/>
      <w:r w:rsidRPr="003E29C0">
        <w:rPr>
          <w:spacing w:val="-2"/>
          <w:lang w:val="en-GB"/>
        </w:rPr>
        <w:t>Dordoni</w:t>
      </w:r>
      <w:proofErr w:type="spellEnd"/>
      <w:r w:rsidR="006A48DD" w:rsidRPr="003E29C0">
        <w:rPr>
          <w:spacing w:val="-2"/>
          <w:lang w:val="en-GB"/>
        </w:rPr>
        <w:t xml:space="preserve"> </w:t>
      </w:r>
      <w:r w:rsidR="006A48DD" w:rsidRPr="003E29C0">
        <w:rPr>
          <w:szCs w:val="18"/>
          <w:lang w:val="en-GB"/>
        </w:rPr>
        <w:t>&amp;</w:t>
      </w:r>
      <w:r w:rsidRPr="003E29C0">
        <w:rPr>
          <w:spacing w:val="-2"/>
          <w:lang w:val="en-GB"/>
        </w:rPr>
        <w:t xml:space="preserve"> </w:t>
      </w:r>
      <w:proofErr w:type="spellStart"/>
      <w:r w:rsidRPr="003E29C0">
        <w:rPr>
          <w:spacing w:val="-2"/>
          <w:lang w:val="en-GB"/>
        </w:rPr>
        <w:t>Argentero</w:t>
      </w:r>
      <w:proofErr w:type="spellEnd"/>
      <w:r w:rsidRPr="003E29C0">
        <w:rPr>
          <w:spacing w:val="-2"/>
          <w:lang w:val="en-GB"/>
        </w:rPr>
        <w:t xml:space="preserve">, 2015; </w:t>
      </w:r>
      <w:proofErr w:type="spellStart"/>
      <w:r w:rsidRPr="003E29C0">
        <w:rPr>
          <w:spacing w:val="-2"/>
          <w:lang w:val="en-GB"/>
        </w:rPr>
        <w:t>Joniaková</w:t>
      </w:r>
      <w:proofErr w:type="spellEnd"/>
      <w:r w:rsidR="006A48DD" w:rsidRPr="003E29C0">
        <w:rPr>
          <w:spacing w:val="-2"/>
          <w:lang w:val="en-GB"/>
        </w:rPr>
        <w:t xml:space="preserve"> </w:t>
      </w:r>
      <w:r w:rsidR="006A48DD" w:rsidRPr="003E29C0">
        <w:rPr>
          <w:szCs w:val="18"/>
          <w:lang w:val="en-GB"/>
        </w:rPr>
        <w:t>&amp;</w:t>
      </w:r>
      <w:r w:rsidRPr="003E29C0">
        <w:rPr>
          <w:spacing w:val="-2"/>
          <w:lang w:val="en-GB"/>
        </w:rPr>
        <w:t xml:space="preserve"> </w:t>
      </w:r>
      <w:proofErr w:type="spellStart"/>
      <w:r w:rsidRPr="003E29C0">
        <w:rPr>
          <w:spacing w:val="-2"/>
          <w:lang w:val="en-GB"/>
        </w:rPr>
        <w:t>Blštáková</w:t>
      </w:r>
      <w:proofErr w:type="spellEnd"/>
      <w:r w:rsidRPr="003E29C0">
        <w:rPr>
          <w:spacing w:val="-2"/>
          <w:lang w:val="en-GB"/>
        </w:rPr>
        <w:t xml:space="preserve">, 2015) and the situation on the </w:t>
      </w:r>
      <w:proofErr w:type="spellStart"/>
      <w:r w:rsidRPr="003E29C0">
        <w:rPr>
          <w:spacing w:val="-2"/>
          <w:lang w:val="en-GB"/>
        </w:rPr>
        <w:t>labor</w:t>
      </w:r>
      <w:proofErr w:type="spellEnd"/>
      <w:r w:rsidRPr="003E29C0">
        <w:rPr>
          <w:spacing w:val="-2"/>
          <w:lang w:val="en-GB"/>
        </w:rPr>
        <w:t xml:space="preserve"> market. It can be concluded that age management is not simply a management method that takes into account all age categories in organizations across all business sectors. First and foremost, it is a means </w:t>
      </w:r>
      <w:r w:rsidR="002253D3" w:rsidRPr="003E29C0">
        <w:rPr>
          <w:spacing w:val="-2"/>
          <w:lang w:val="en-GB"/>
        </w:rPr>
        <w:t xml:space="preserve">of </w:t>
      </w:r>
      <w:r w:rsidRPr="003E29C0">
        <w:rPr>
          <w:spacing w:val="-2"/>
          <w:lang w:val="en-GB"/>
        </w:rPr>
        <w:t>how to face the consequences of</w:t>
      </w:r>
      <w:r w:rsidR="0020542A" w:rsidRPr="003E29C0">
        <w:rPr>
          <w:spacing w:val="-2"/>
          <w:lang w:val="en-GB"/>
        </w:rPr>
        <w:t> </w:t>
      </w:r>
      <w:r w:rsidRPr="003E29C0">
        <w:rPr>
          <w:spacing w:val="-2"/>
          <w:lang w:val="en-GB"/>
        </w:rPr>
        <w:t>demographic changes in society well and efficiently and how to extend the active age of the population.</w:t>
      </w:r>
    </w:p>
    <w:p w14:paraId="744E9EBC" w14:textId="75A1A1AA" w:rsidR="007249DA" w:rsidRPr="003E29C0" w:rsidRDefault="00805CD6" w:rsidP="009F7957">
      <w:pPr>
        <w:pStyle w:val="HED-text"/>
        <w:rPr>
          <w:spacing w:val="-2"/>
          <w:lang w:val="en-GB"/>
        </w:rPr>
      </w:pPr>
      <w:r w:rsidRPr="003E29C0">
        <w:rPr>
          <w:spacing w:val="-2"/>
          <w:lang w:val="en-GB"/>
        </w:rPr>
        <w:t xml:space="preserve">As for the implementation of age management, it is </w:t>
      </w:r>
      <w:r w:rsidR="002253D3" w:rsidRPr="003E29C0">
        <w:rPr>
          <w:spacing w:val="-2"/>
          <w:lang w:val="en-GB"/>
        </w:rPr>
        <w:t>essential</w:t>
      </w:r>
      <w:r w:rsidRPr="003E29C0">
        <w:rPr>
          <w:spacing w:val="-2"/>
          <w:lang w:val="en-GB"/>
        </w:rPr>
        <w:t xml:space="preserve"> to note that the length of</w:t>
      </w:r>
      <w:r w:rsidR="0020542A" w:rsidRPr="003E29C0">
        <w:rPr>
          <w:spacing w:val="-2"/>
          <w:lang w:val="en-GB"/>
        </w:rPr>
        <w:t> </w:t>
      </w:r>
      <w:r w:rsidRPr="003E29C0">
        <w:rPr>
          <w:spacing w:val="-2"/>
          <w:lang w:val="en-GB"/>
        </w:rPr>
        <w:t>working life will further become longer, which will affect both employers and employees (Earl</w:t>
      </w:r>
      <w:r w:rsidR="006A48DD" w:rsidRPr="003E29C0">
        <w:rPr>
          <w:spacing w:val="-2"/>
          <w:lang w:val="en-GB"/>
        </w:rPr>
        <w:t xml:space="preserve"> </w:t>
      </w:r>
      <w:r w:rsidR="006A48DD" w:rsidRPr="003E29C0">
        <w:rPr>
          <w:szCs w:val="18"/>
          <w:lang w:val="en-GB"/>
        </w:rPr>
        <w:t>&amp;</w:t>
      </w:r>
      <w:r w:rsidRPr="003E29C0">
        <w:rPr>
          <w:spacing w:val="-2"/>
          <w:lang w:val="en-GB"/>
        </w:rPr>
        <w:t xml:space="preserve"> Taylor, 2015). This implies the need for quite significant changes related to the setting of intergenerational cooperation, organizational culture, and climate (</w:t>
      </w:r>
      <w:proofErr w:type="spellStart"/>
      <w:r w:rsidRPr="003E29C0">
        <w:rPr>
          <w:spacing w:val="-2"/>
          <w:lang w:val="en-GB"/>
        </w:rPr>
        <w:t>Ciutiene</w:t>
      </w:r>
      <w:proofErr w:type="spellEnd"/>
      <w:r w:rsidR="006A48DD" w:rsidRPr="003E29C0">
        <w:rPr>
          <w:spacing w:val="-2"/>
          <w:lang w:val="en-GB"/>
        </w:rPr>
        <w:t xml:space="preserve"> </w:t>
      </w:r>
      <w:r w:rsidR="006A48DD" w:rsidRPr="003E29C0">
        <w:rPr>
          <w:szCs w:val="18"/>
          <w:lang w:val="en-GB"/>
        </w:rPr>
        <w:t>&amp;</w:t>
      </w:r>
      <w:r w:rsidRPr="003E29C0">
        <w:rPr>
          <w:spacing w:val="-2"/>
          <w:lang w:val="en-GB"/>
        </w:rPr>
        <w:t xml:space="preserve"> </w:t>
      </w:r>
      <w:proofErr w:type="spellStart"/>
      <w:r w:rsidRPr="003E29C0">
        <w:rPr>
          <w:spacing w:val="-2"/>
          <w:lang w:val="en-GB"/>
        </w:rPr>
        <w:t>Railaite</w:t>
      </w:r>
      <w:proofErr w:type="spellEnd"/>
      <w:r w:rsidRPr="003E29C0">
        <w:rPr>
          <w:spacing w:val="-2"/>
          <w:lang w:val="en-GB"/>
        </w:rPr>
        <w:t xml:space="preserve">, 2015; </w:t>
      </w:r>
      <w:proofErr w:type="spellStart"/>
      <w:r w:rsidRPr="003E29C0">
        <w:rPr>
          <w:spacing w:val="-2"/>
          <w:lang w:val="en-GB"/>
        </w:rPr>
        <w:t>Joniaková</w:t>
      </w:r>
      <w:proofErr w:type="spellEnd"/>
      <w:r w:rsidR="006A48DD" w:rsidRPr="003E29C0">
        <w:rPr>
          <w:spacing w:val="-2"/>
          <w:lang w:val="en-GB"/>
        </w:rPr>
        <w:t xml:space="preserve"> </w:t>
      </w:r>
      <w:r w:rsidR="006A48DD" w:rsidRPr="003E29C0">
        <w:rPr>
          <w:szCs w:val="18"/>
          <w:lang w:val="en-GB"/>
        </w:rPr>
        <w:t>&amp;</w:t>
      </w:r>
      <w:r w:rsidRPr="003E29C0">
        <w:rPr>
          <w:spacing w:val="-2"/>
          <w:lang w:val="en-GB"/>
        </w:rPr>
        <w:t xml:space="preserve"> </w:t>
      </w:r>
      <w:proofErr w:type="spellStart"/>
      <w:r w:rsidRPr="003E29C0">
        <w:rPr>
          <w:spacing w:val="-2"/>
          <w:lang w:val="en-GB"/>
        </w:rPr>
        <w:t>Blštáková</w:t>
      </w:r>
      <w:proofErr w:type="spellEnd"/>
      <w:r w:rsidRPr="003E29C0">
        <w:rPr>
          <w:spacing w:val="-2"/>
          <w:lang w:val="en-GB"/>
        </w:rPr>
        <w:t>, 2015). However, to be successfully implemented, the continuous learning of both young and talented employees</w:t>
      </w:r>
      <w:r w:rsidR="002253D3" w:rsidRPr="003E29C0">
        <w:rPr>
          <w:spacing w:val="-2"/>
          <w:lang w:val="en-GB"/>
        </w:rPr>
        <w:t>, as well as 50+ employees,</w:t>
      </w:r>
      <w:r w:rsidRPr="003E29C0">
        <w:rPr>
          <w:spacing w:val="-2"/>
          <w:lang w:val="en-GB"/>
        </w:rPr>
        <w:t xml:space="preserve"> must be emphasized. The presented article focuses on the issues of age management and the necessity of solving them in the context of strategic human resource management, and thus achieving a competitive advantage and building the employer brand. The main aim is to identify problem areas of age management in the COVID-19 era in the selected organizations in the Czech Republic (</w:t>
      </w:r>
      <w:r w:rsidRPr="003E29C0">
        <w:rPr>
          <w:i/>
          <w:iCs/>
          <w:spacing w:val="-2"/>
          <w:lang w:val="en-GB"/>
        </w:rPr>
        <w:t>n</w:t>
      </w:r>
      <w:r w:rsidRPr="003E29C0">
        <w:rPr>
          <w:spacing w:val="-2"/>
          <w:lang w:val="en-GB"/>
        </w:rPr>
        <w:t xml:space="preserve"> = 183) and to make recommendations to optimize them.</w:t>
      </w:r>
    </w:p>
    <w:p w14:paraId="698F3B94" w14:textId="26713036" w:rsidR="0011774D" w:rsidRPr="003E29C0" w:rsidRDefault="0011774D" w:rsidP="0011774D">
      <w:pPr>
        <w:pStyle w:val="HED-heading1"/>
        <w:rPr>
          <w:lang w:val="en-GB"/>
        </w:rPr>
      </w:pPr>
      <w:r w:rsidRPr="003E29C0">
        <w:rPr>
          <w:lang w:val="en-GB" w:eastAsia="zh-CN"/>
        </w:rPr>
        <w:t xml:space="preserve">2. </w:t>
      </w:r>
      <w:r w:rsidRPr="003E29C0">
        <w:rPr>
          <w:lang w:val="en-GB"/>
        </w:rPr>
        <w:t xml:space="preserve">Theoretical </w:t>
      </w:r>
      <w:r w:rsidR="009B33EA">
        <w:rPr>
          <w:lang w:val="en-GB"/>
        </w:rPr>
        <w:t>P</w:t>
      </w:r>
      <w:r w:rsidRPr="003E29C0">
        <w:rPr>
          <w:lang w:val="en-GB"/>
        </w:rPr>
        <w:t>art</w:t>
      </w:r>
    </w:p>
    <w:p w14:paraId="5177FC4D" w14:textId="7F222536" w:rsidR="0011774D" w:rsidRPr="003E29C0" w:rsidRDefault="0011774D" w:rsidP="0011774D">
      <w:pPr>
        <w:pStyle w:val="HED-text"/>
        <w:rPr>
          <w:lang w:val="en-GB"/>
        </w:rPr>
      </w:pPr>
      <w:r w:rsidRPr="003E29C0">
        <w:rPr>
          <w:lang w:val="en-GB"/>
        </w:rPr>
        <w:t>Age management is a management approach that takes into account the age, ability, and potential of employees (</w:t>
      </w:r>
      <w:proofErr w:type="spellStart"/>
      <w:r w:rsidRPr="003E29C0">
        <w:rPr>
          <w:lang w:val="en-GB"/>
        </w:rPr>
        <w:t>Garavaglia</w:t>
      </w:r>
      <w:proofErr w:type="spellEnd"/>
      <w:r w:rsidRPr="003E29C0">
        <w:rPr>
          <w:lang w:val="en-GB"/>
        </w:rPr>
        <w:t xml:space="preserve"> et al., 2021). The benefits (and downsides) of</w:t>
      </w:r>
      <w:r w:rsidR="0020542A" w:rsidRPr="003E29C0">
        <w:rPr>
          <w:lang w:val="en-GB"/>
        </w:rPr>
        <w:t> </w:t>
      </w:r>
      <w:r w:rsidRPr="003E29C0">
        <w:rPr>
          <w:lang w:val="en-GB"/>
        </w:rPr>
        <w:t>implementing age management can be identified at three levels, namely</w:t>
      </w:r>
      <w:r w:rsidR="001418AA" w:rsidRPr="003E29C0">
        <w:rPr>
          <w:lang w:val="en-GB"/>
        </w:rPr>
        <w:t>,</w:t>
      </w:r>
      <w:r w:rsidRPr="003E29C0">
        <w:rPr>
          <w:lang w:val="en-GB"/>
        </w:rPr>
        <w:t xml:space="preserve"> social, organizational, and individual (Nilsson, 2016; </w:t>
      </w:r>
      <w:proofErr w:type="spellStart"/>
      <w:r w:rsidRPr="003E29C0">
        <w:rPr>
          <w:lang w:val="en-GB"/>
        </w:rPr>
        <w:t>Blomé</w:t>
      </w:r>
      <w:proofErr w:type="spellEnd"/>
      <w:r w:rsidRPr="003E29C0">
        <w:rPr>
          <w:lang w:val="en-GB"/>
        </w:rPr>
        <w:t xml:space="preserve"> et al., 2018). It can be concluded that age management is part of the Corporate Social Responsibility phenomenon (</w:t>
      </w:r>
      <w:proofErr w:type="spellStart"/>
      <w:r w:rsidRPr="003E29C0">
        <w:rPr>
          <w:lang w:val="en-GB"/>
        </w:rPr>
        <w:t>Feißel</w:t>
      </w:r>
      <w:proofErr w:type="spellEnd"/>
      <w:r w:rsidRPr="003E29C0">
        <w:rPr>
          <w:lang w:val="en-GB"/>
        </w:rPr>
        <w:t xml:space="preserve"> et al., 2018; </w:t>
      </w:r>
      <w:proofErr w:type="spellStart"/>
      <w:r w:rsidRPr="003E29C0">
        <w:rPr>
          <w:lang w:val="en-GB"/>
        </w:rPr>
        <w:t>Pytel-Kopczyńska</w:t>
      </w:r>
      <w:proofErr w:type="spellEnd"/>
      <w:r w:rsidR="00B733FE" w:rsidRPr="003E29C0">
        <w:rPr>
          <w:lang w:val="en-GB"/>
        </w:rPr>
        <w:t xml:space="preserve"> </w:t>
      </w:r>
      <w:r w:rsidR="00B733FE" w:rsidRPr="003E29C0">
        <w:rPr>
          <w:szCs w:val="18"/>
          <w:lang w:val="en-GB"/>
        </w:rPr>
        <w:t>&amp;</w:t>
      </w:r>
      <w:r w:rsidRPr="003E29C0">
        <w:rPr>
          <w:lang w:val="en-GB"/>
        </w:rPr>
        <w:t xml:space="preserve"> Oleksiak, 2019), specifically</w:t>
      </w:r>
      <w:r w:rsidR="001418AA" w:rsidRPr="003E29C0">
        <w:rPr>
          <w:lang w:val="en-GB"/>
        </w:rPr>
        <w:t>,</w:t>
      </w:r>
      <w:r w:rsidRPr="003E29C0">
        <w:rPr>
          <w:lang w:val="en-GB"/>
        </w:rPr>
        <w:t xml:space="preserve"> activities focusing on the social pillar of</w:t>
      </w:r>
      <w:r w:rsidR="0020542A" w:rsidRPr="003E29C0">
        <w:rPr>
          <w:lang w:val="en-GB"/>
        </w:rPr>
        <w:t> </w:t>
      </w:r>
      <w:r w:rsidRPr="003E29C0">
        <w:rPr>
          <w:lang w:val="en-GB"/>
        </w:rPr>
        <w:t>sustainable business (Atkinson</w:t>
      </w:r>
      <w:r w:rsidR="00270BDE" w:rsidRPr="003E29C0">
        <w:rPr>
          <w:lang w:val="en-GB"/>
        </w:rPr>
        <w:t xml:space="preserve"> </w:t>
      </w:r>
      <w:r w:rsidR="00270BDE" w:rsidRPr="003E29C0">
        <w:rPr>
          <w:szCs w:val="18"/>
          <w:lang w:val="en-GB"/>
        </w:rPr>
        <w:t>&amp;</w:t>
      </w:r>
      <w:r w:rsidRPr="003E29C0">
        <w:rPr>
          <w:lang w:val="en-GB"/>
        </w:rPr>
        <w:t xml:space="preserve"> Sandiford, 2016). Age management is </w:t>
      </w:r>
      <w:r w:rsidR="001418AA" w:rsidRPr="003E29C0">
        <w:rPr>
          <w:lang w:val="en-GB"/>
        </w:rPr>
        <w:t>vital</w:t>
      </w:r>
      <w:r w:rsidRPr="003E29C0">
        <w:rPr>
          <w:lang w:val="en-GB"/>
        </w:rPr>
        <w:t xml:space="preserve"> for all ages of employees (</w:t>
      </w:r>
      <w:proofErr w:type="spellStart"/>
      <w:r w:rsidRPr="003E29C0">
        <w:rPr>
          <w:lang w:val="en-GB"/>
        </w:rPr>
        <w:t>Rašticová</w:t>
      </w:r>
      <w:proofErr w:type="spellEnd"/>
      <w:r w:rsidRPr="003E29C0">
        <w:rPr>
          <w:lang w:val="en-GB"/>
        </w:rPr>
        <w:t xml:space="preserve"> et al., 2019)</w:t>
      </w:r>
      <w:r w:rsidR="001418AA" w:rsidRPr="003E29C0">
        <w:rPr>
          <w:lang w:val="en-GB"/>
        </w:rPr>
        <w:t>;</w:t>
      </w:r>
      <w:r w:rsidRPr="003E29C0">
        <w:rPr>
          <w:lang w:val="en-GB"/>
        </w:rPr>
        <w:t xml:space="preserve"> however, for older workers in particular, specific working conditions need to be created with respect to occupational health and safety and increased risks (</w:t>
      </w:r>
      <w:proofErr w:type="spellStart"/>
      <w:r w:rsidRPr="003E29C0">
        <w:rPr>
          <w:lang w:val="en-GB"/>
        </w:rPr>
        <w:t>Dordoni</w:t>
      </w:r>
      <w:proofErr w:type="spellEnd"/>
      <w:r w:rsidR="00B733FE" w:rsidRPr="003E29C0">
        <w:rPr>
          <w:lang w:val="en-GB"/>
        </w:rPr>
        <w:t xml:space="preserve"> </w:t>
      </w:r>
      <w:r w:rsidR="00B733FE" w:rsidRPr="003E29C0">
        <w:rPr>
          <w:szCs w:val="18"/>
          <w:lang w:val="en-GB"/>
        </w:rPr>
        <w:t>&amp;</w:t>
      </w:r>
      <w:r w:rsidRPr="003E29C0">
        <w:rPr>
          <w:lang w:val="en-GB"/>
        </w:rPr>
        <w:t xml:space="preserve"> </w:t>
      </w:r>
      <w:proofErr w:type="spellStart"/>
      <w:r w:rsidRPr="003E29C0">
        <w:rPr>
          <w:lang w:val="en-GB"/>
        </w:rPr>
        <w:t>Argentero</w:t>
      </w:r>
      <w:proofErr w:type="spellEnd"/>
      <w:r w:rsidRPr="003E29C0">
        <w:rPr>
          <w:lang w:val="en-GB"/>
        </w:rPr>
        <w:t>, 2015). It is advisable to adapt working hours to the flexible forms of work arrangement (Atkinson</w:t>
      </w:r>
      <w:r w:rsidR="00B733FE" w:rsidRPr="003E29C0">
        <w:rPr>
          <w:lang w:val="en-GB"/>
        </w:rPr>
        <w:t xml:space="preserve"> </w:t>
      </w:r>
      <w:r w:rsidR="00B733FE" w:rsidRPr="003E29C0">
        <w:rPr>
          <w:szCs w:val="18"/>
          <w:lang w:val="en-GB"/>
        </w:rPr>
        <w:t>&amp;</w:t>
      </w:r>
      <w:r w:rsidRPr="003E29C0">
        <w:rPr>
          <w:lang w:val="en-GB"/>
        </w:rPr>
        <w:t xml:space="preserve"> Sandiford, 2016) by including training courses and limiting overtime. However, in the context of the ongoing COVID-19 pandemic, despite the use of home working and flexible forms of work, the </w:t>
      </w:r>
      <w:proofErr w:type="spellStart"/>
      <w:r w:rsidRPr="003E29C0">
        <w:rPr>
          <w:lang w:val="en-GB"/>
        </w:rPr>
        <w:t>labor</w:t>
      </w:r>
      <w:proofErr w:type="spellEnd"/>
      <w:r w:rsidRPr="003E29C0">
        <w:rPr>
          <w:lang w:val="en-GB"/>
        </w:rPr>
        <w:t xml:space="preserve"> productivity of</w:t>
      </w:r>
      <w:r w:rsidR="0020542A" w:rsidRPr="003E29C0">
        <w:rPr>
          <w:lang w:val="en-GB"/>
        </w:rPr>
        <w:t> </w:t>
      </w:r>
      <w:r w:rsidRPr="003E29C0">
        <w:rPr>
          <w:lang w:val="en-GB"/>
        </w:rPr>
        <w:t>employees has been decreasing and there has also been a shift away from the principles of</w:t>
      </w:r>
      <w:r w:rsidR="0020542A" w:rsidRPr="003E29C0">
        <w:rPr>
          <w:lang w:val="en-GB"/>
        </w:rPr>
        <w:t> </w:t>
      </w:r>
      <w:r w:rsidRPr="003E29C0">
        <w:rPr>
          <w:lang w:val="en-GB"/>
        </w:rPr>
        <w:t xml:space="preserve">the relatively stable </w:t>
      </w:r>
      <w:proofErr w:type="spellStart"/>
      <w:r w:rsidRPr="003E29C0">
        <w:rPr>
          <w:lang w:val="en-GB"/>
        </w:rPr>
        <w:t>labor</w:t>
      </w:r>
      <w:proofErr w:type="spellEnd"/>
      <w:r w:rsidRPr="003E29C0">
        <w:rPr>
          <w:lang w:val="en-GB"/>
        </w:rPr>
        <w:t xml:space="preserve"> market in the past. Nowadays, there are repeated dismissals and stereotyping of 50+ employees.</w:t>
      </w:r>
    </w:p>
    <w:p w14:paraId="4CFA5566" w14:textId="7507A70F" w:rsidR="0011774D" w:rsidRPr="003E29C0" w:rsidRDefault="0011774D" w:rsidP="0011774D">
      <w:pPr>
        <w:pStyle w:val="HED-text"/>
        <w:rPr>
          <w:lang w:val="en-GB"/>
        </w:rPr>
      </w:pPr>
      <w:r w:rsidRPr="003E29C0">
        <w:rPr>
          <w:lang w:val="en-GB"/>
        </w:rPr>
        <w:t xml:space="preserve">Harnessing the potential of all workers in the </w:t>
      </w:r>
      <w:proofErr w:type="spellStart"/>
      <w:r w:rsidRPr="003E29C0">
        <w:rPr>
          <w:lang w:val="en-GB"/>
        </w:rPr>
        <w:t>labor</w:t>
      </w:r>
      <w:proofErr w:type="spellEnd"/>
      <w:r w:rsidRPr="003E29C0">
        <w:rPr>
          <w:lang w:val="en-GB"/>
        </w:rPr>
        <w:t xml:space="preserve"> market effectively should be a</w:t>
      </w:r>
      <w:r w:rsidR="001418AA" w:rsidRPr="003E29C0">
        <w:rPr>
          <w:lang w:val="en-GB"/>
        </w:rPr>
        <w:t>n essential</w:t>
      </w:r>
      <w:r w:rsidRPr="003E29C0">
        <w:rPr>
          <w:lang w:val="en-GB"/>
        </w:rPr>
        <w:t xml:space="preserve"> strategy for the human resource management of organizations (von Bonsdorff et al., 2018; </w:t>
      </w:r>
      <w:proofErr w:type="spellStart"/>
      <w:r w:rsidRPr="003E29C0">
        <w:rPr>
          <w:lang w:val="en-GB"/>
        </w:rPr>
        <w:t>Birkinshaw</w:t>
      </w:r>
      <w:proofErr w:type="spellEnd"/>
      <w:r w:rsidRPr="003E29C0">
        <w:rPr>
          <w:lang w:val="en-GB"/>
        </w:rPr>
        <w:t xml:space="preserve"> et al., 2019). It can be observed that there are some risks for organizations neglecting age-specific human resource management (Fuertes et al., 2013; </w:t>
      </w:r>
      <w:proofErr w:type="spellStart"/>
      <w:r w:rsidRPr="003E29C0">
        <w:rPr>
          <w:lang w:val="en-GB"/>
        </w:rPr>
        <w:t>Joniaková</w:t>
      </w:r>
      <w:proofErr w:type="spellEnd"/>
      <w:r w:rsidR="00B733FE" w:rsidRPr="003E29C0">
        <w:rPr>
          <w:lang w:val="en-GB"/>
        </w:rPr>
        <w:t xml:space="preserve"> </w:t>
      </w:r>
      <w:r w:rsidR="00B733FE" w:rsidRPr="003E29C0">
        <w:rPr>
          <w:szCs w:val="18"/>
          <w:lang w:val="en-GB"/>
        </w:rPr>
        <w:t>&amp;</w:t>
      </w:r>
      <w:r w:rsidR="0020542A" w:rsidRPr="003E29C0">
        <w:rPr>
          <w:lang w:val="en-GB"/>
        </w:rPr>
        <w:t> </w:t>
      </w:r>
      <w:proofErr w:type="spellStart"/>
      <w:r w:rsidRPr="003E29C0">
        <w:rPr>
          <w:lang w:val="en-GB"/>
        </w:rPr>
        <w:t>Blštáková</w:t>
      </w:r>
      <w:proofErr w:type="spellEnd"/>
      <w:r w:rsidRPr="003E29C0">
        <w:rPr>
          <w:lang w:val="en-GB"/>
        </w:rPr>
        <w:t xml:space="preserve">, 2015; </w:t>
      </w:r>
      <w:proofErr w:type="spellStart"/>
      <w:r w:rsidRPr="003E29C0">
        <w:rPr>
          <w:lang w:val="en-GB"/>
        </w:rPr>
        <w:t>Garavaglia</w:t>
      </w:r>
      <w:proofErr w:type="spellEnd"/>
      <w:r w:rsidRPr="003E29C0">
        <w:rPr>
          <w:lang w:val="en-GB"/>
        </w:rPr>
        <w:t xml:space="preserve"> et al., 2021). These primarily include the cost of incapacity for work, the loss of qualified employees and their critical knowledge and skills, the training </w:t>
      </w:r>
      <w:r w:rsidRPr="003E29C0">
        <w:rPr>
          <w:lang w:val="en-GB"/>
        </w:rPr>
        <w:lastRenderedPageBreak/>
        <w:t>of</w:t>
      </w:r>
      <w:r w:rsidR="0020542A" w:rsidRPr="003E29C0">
        <w:rPr>
          <w:lang w:val="en-GB"/>
        </w:rPr>
        <w:t> </w:t>
      </w:r>
      <w:r w:rsidRPr="003E29C0">
        <w:rPr>
          <w:lang w:val="en-GB"/>
        </w:rPr>
        <w:t>new employees after employees retire, and many others (Stacho et al., 2013). The above is</w:t>
      </w:r>
      <w:r w:rsidR="0020542A" w:rsidRPr="003E29C0">
        <w:rPr>
          <w:lang w:val="en-GB"/>
        </w:rPr>
        <w:t> </w:t>
      </w:r>
      <w:r w:rsidRPr="003E29C0">
        <w:rPr>
          <w:lang w:val="en-GB"/>
        </w:rPr>
        <w:t>summarized in Table 1, which is based on three aspects, organizational, social, and individual.</w:t>
      </w:r>
    </w:p>
    <w:p w14:paraId="072C7BE0" w14:textId="771A7914" w:rsidR="004900FE" w:rsidRPr="003E29C0" w:rsidRDefault="004900FE" w:rsidP="00623368">
      <w:pPr>
        <w:pStyle w:val="HED-tablecaption"/>
        <w:rPr>
          <w:lang w:val="en-GB"/>
        </w:rPr>
      </w:pPr>
      <w:r w:rsidRPr="003E29C0">
        <w:rPr>
          <w:b/>
          <w:bCs/>
          <w:lang w:val="en-GB"/>
        </w:rPr>
        <w:t>Table 1.</w:t>
      </w:r>
      <w:r w:rsidRPr="003E29C0">
        <w:rPr>
          <w:lang w:val="en-GB"/>
        </w:rPr>
        <w:t xml:space="preserve"> </w:t>
      </w:r>
      <w:r w:rsidR="0011774D" w:rsidRPr="003E29C0">
        <w:rPr>
          <w:lang w:val="en-GB"/>
        </w:rPr>
        <w:t>The benefits and negatives associated with the implementation of age management</w:t>
      </w:r>
    </w:p>
    <w:tbl>
      <w:tblPr>
        <w:tblStyle w:val="Mkatabulky"/>
        <w:tblW w:w="8976" w:type="dxa"/>
        <w:tblLook w:val="04A0" w:firstRow="1" w:lastRow="0" w:firstColumn="1" w:lastColumn="0" w:noHBand="0" w:noVBand="1"/>
      </w:tblPr>
      <w:tblGrid>
        <w:gridCol w:w="1589"/>
        <w:gridCol w:w="3910"/>
        <w:gridCol w:w="3477"/>
      </w:tblGrid>
      <w:tr w:rsidR="0011774D" w:rsidRPr="003E29C0" w14:paraId="198E1F3F" w14:textId="77777777" w:rsidTr="0020542A">
        <w:trPr>
          <w:trHeight w:val="400"/>
        </w:trPr>
        <w:tc>
          <w:tcPr>
            <w:tcW w:w="0" w:type="auto"/>
            <w:tcBorders>
              <w:tl2br w:val="single" w:sz="4" w:space="0" w:color="auto"/>
            </w:tcBorders>
          </w:tcPr>
          <w:p w14:paraId="37342FA0" w14:textId="77777777" w:rsidR="0011774D" w:rsidRPr="003E29C0" w:rsidRDefault="0011774D" w:rsidP="003E29C0">
            <w:pPr>
              <w:pStyle w:val="HED-tablebody"/>
              <w:jc w:val="left"/>
              <w:rPr>
                <w:lang w:val="en-GB"/>
              </w:rPr>
            </w:pPr>
          </w:p>
        </w:tc>
        <w:tc>
          <w:tcPr>
            <w:tcW w:w="0" w:type="auto"/>
            <w:vAlign w:val="center"/>
          </w:tcPr>
          <w:p w14:paraId="6813E1DE" w14:textId="77777777" w:rsidR="0011774D" w:rsidRPr="003E29C0" w:rsidRDefault="0011774D" w:rsidP="00FC7B3E">
            <w:pPr>
              <w:pStyle w:val="HED-tablebody"/>
              <w:rPr>
                <w:b/>
                <w:lang w:val="en-GB"/>
              </w:rPr>
            </w:pPr>
            <w:r w:rsidRPr="003E29C0">
              <w:rPr>
                <w:b/>
                <w:lang w:val="en-GB"/>
              </w:rPr>
              <w:t>The benefits of age management implementation</w:t>
            </w:r>
          </w:p>
        </w:tc>
        <w:tc>
          <w:tcPr>
            <w:tcW w:w="0" w:type="auto"/>
            <w:vAlign w:val="center"/>
          </w:tcPr>
          <w:p w14:paraId="5DCCEC32" w14:textId="4F3B88D4" w:rsidR="0011774D" w:rsidRPr="003E29C0" w:rsidRDefault="0011774D" w:rsidP="00FC7B3E">
            <w:pPr>
              <w:pStyle w:val="HED-tablebody"/>
              <w:rPr>
                <w:b/>
                <w:lang w:val="en-GB"/>
              </w:rPr>
            </w:pPr>
            <w:r w:rsidRPr="003E29C0">
              <w:rPr>
                <w:b/>
                <w:lang w:val="en-GB"/>
              </w:rPr>
              <w:t>The negatives of age management implementation</w:t>
            </w:r>
          </w:p>
        </w:tc>
      </w:tr>
      <w:tr w:rsidR="0011774D" w:rsidRPr="003E29C0" w14:paraId="22401BBD" w14:textId="77777777" w:rsidTr="0020542A">
        <w:trPr>
          <w:trHeight w:val="394"/>
        </w:trPr>
        <w:tc>
          <w:tcPr>
            <w:tcW w:w="0" w:type="auto"/>
            <w:vMerge w:val="restart"/>
            <w:vAlign w:val="center"/>
          </w:tcPr>
          <w:p w14:paraId="7C5168A2" w14:textId="77777777" w:rsidR="0011774D" w:rsidRPr="003E29C0" w:rsidRDefault="0011774D" w:rsidP="003E29C0">
            <w:pPr>
              <w:pStyle w:val="HED-tablebody"/>
              <w:jc w:val="left"/>
              <w:rPr>
                <w:b/>
                <w:lang w:val="en-GB"/>
              </w:rPr>
            </w:pPr>
            <w:r w:rsidRPr="003E29C0">
              <w:rPr>
                <w:b/>
                <w:lang w:val="en-GB"/>
              </w:rPr>
              <w:t>Organizational aspect</w:t>
            </w:r>
          </w:p>
        </w:tc>
        <w:tc>
          <w:tcPr>
            <w:tcW w:w="0" w:type="auto"/>
            <w:vAlign w:val="center"/>
          </w:tcPr>
          <w:p w14:paraId="5A280A42" w14:textId="77777777" w:rsidR="0011774D" w:rsidRPr="003E29C0" w:rsidRDefault="0011774D" w:rsidP="003E29C0">
            <w:pPr>
              <w:pStyle w:val="HED-tablebody"/>
              <w:jc w:val="left"/>
              <w:rPr>
                <w:lang w:val="en-GB"/>
              </w:rPr>
            </w:pPr>
            <w:r w:rsidRPr="003E29C0">
              <w:rPr>
                <w:lang w:val="en-GB"/>
              </w:rPr>
              <w:t>Building employer brand and prestige</w:t>
            </w:r>
          </w:p>
        </w:tc>
        <w:tc>
          <w:tcPr>
            <w:tcW w:w="0" w:type="auto"/>
            <w:vAlign w:val="center"/>
          </w:tcPr>
          <w:p w14:paraId="4D1E661C" w14:textId="14181E07" w:rsidR="0011774D" w:rsidRPr="003E29C0" w:rsidRDefault="0011774D" w:rsidP="003E29C0">
            <w:pPr>
              <w:pStyle w:val="HED-tablebody"/>
              <w:jc w:val="left"/>
              <w:rPr>
                <w:lang w:val="en-GB"/>
              </w:rPr>
            </w:pPr>
            <w:r w:rsidRPr="003E29C0">
              <w:rPr>
                <w:lang w:val="en-GB"/>
              </w:rPr>
              <w:t>Higher demands on management (</w:t>
            </w:r>
            <w:proofErr w:type="spellStart"/>
            <w:r w:rsidRPr="003E29C0">
              <w:rPr>
                <w:lang w:val="en-GB"/>
              </w:rPr>
              <w:t>Joniaková</w:t>
            </w:r>
            <w:proofErr w:type="spellEnd"/>
            <w:r w:rsidR="00623368" w:rsidRPr="003E29C0">
              <w:rPr>
                <w:lang w:val="en-GB"/>
              </w:rPr>
              <w:t xml:space="preserve"> </w:t>
            </w:r>
            <w:r w:rsidR="00623368" w:rsidRPr="003E29C0">
              <w:rPr>
                <w:szCs w:val="18"/>
                <w:lang w:val="en-GB"/>
              </w:rPr>
              <w:t>&amp;</w:t>
            </w:r>
            <w:r w:rsidRPr="003E29C0">
              <w:rPr>
                <w:lang w:val="en-GB"/>
              </w:rPr>
              <w:t xml:space="preserve"> </w:t>
            </w:r>
            <w:proofErr w:type="spellStart"/>
            <w:r w:rsidRPr="003E29C0">
              <w:rPr>
                <w:lang w:val="en-GB"/>
              </w:rPr>
              <w:t>Blštáková</w:t>
            </w:r>
            <w:proofErr w:type="spellEnd"/>
            <w:r w:rsidRPr="003E29C0">
              <w:rPr>
                <w:lang w:val="en-GB"/>
              </w:rPr>
              <w:t>, 2015)</w:t>
            </w:r>
          </w:p>
        </w:tc>
      </w:tr>
      <w:tr w:rsidR="0011774D" w:rsidRPr="003E29C0" w14:paraId="037419B7" w14:textId="77777777" w:rsidTr="0020542A">
        <w:trPr>
          <w:trHeight w:val="406"/>
        </w:trPr>
        <w:tc>
          <w:tcPr>
            <w:tcW w:w="0" w:type="auto"/>
            <w:vMerge/>
          </w:tcPr>
          <w:p w14:paraId="1074D3CA" w14:textId="77777777" w:rsidR="0011774D" w:rsidRPr="003E29C0" w:rsidRDefault="0011774D" w:rsidP="003E29C0">
            <w:pPr>
              <w:pStyle w:val="HED-tablebody"/>
              <w:jc w:val="left"/>
              <w:rPr>
                <w:b/>
                <w:lang w:val="en-GB"/>
              </w:rPr>
            </w:pPr>
          </w:p>
        </w:tc>
        <w:tc>
          <w:tcPr>
            <w:tcW w:w="0" w:type="auto"/>
            <w:vAlign w:val="center"/>
          </w:tcPr>
          <w:p w14:paraId="6CEDB3B6" w14:textId="77777777" w:rsidR="0011774D" w:rsidRPr="003E29C0" w:rsidRDefault="0011774D" w:rsidP="003E29C0">
            <w:pPr>
              <w:pStyle w:val="HED-tablebody"/>
              <w:jc w:val="left"/>
              <w:rPr>
                <w:lang w:val="en-GB"/>
              </w:rPr>
            </w:pPr>
            <w:r w:rsidRPr="003E29C0">
              <w:rPr>
                <w:lang w:val="en-GB"/>
              </w:rPr>
              <w:t>Harnessing the employee potential regardless of age (</w:t>
            </w:r>
            <w:proofErr w:type="spellStart"/>
            <w:r w:rsidRPr="003E29C0">
              <w:rPr>
                <w:lang w:val="en-GB"/>
              </w:rPr>
              <w:t>Blomé</w:t>
            </w:r>
            <w:proofErr w:type="spellEnd"/>
            <w:r w:rsidRPr="003E29C0">
              <w:rPr>
                <w:lang w:val="en-GB"/>
              </w:rPr>
              <w:t xml:space="preserve"> et al., 2018)</w:t>
            </w:r>
          </w:p>
        </w:tc>
        <w:tc>
          <w:tcPr>
            <w:tcW w:w="0" w:type="auto"/>
            <w:vAlign w:val="center"/>
          </w:tcPr>
          <w:p w14:paraId="76144A52" w14:textId="77777777" w:rsidR="0011774D" w:rsidRPr="003E29C0" w:rsidRDefault="0011774D" w:rsidP="003E29C0">
            <w:pPr>
              <w:pStyle w:val="HED-tablebody"/>
              <w:jc w:val="left"/>
              <w:rPr>
                <w:lang w:val="en-GB"/>
              </w:rPr>
            </w:pPr>
            <w:r w:rsidRPr="003E29C0">
              <w:rPr>
                <w:lang w:val="en-GB"/>
              </w:rPr>
              <w:t>Increased financial demands (</w:t>
            </w:r>
            <w:proofErr w:type="spellStart"/>
            <w:r w:rsidRPr="003E29C0">
              <w:rPr>
                <w:lang w:val="en-GB"/>
              </w:rPr>
              <w:t>Conen</w:t>
            </w:r>
            <w:proofErr w:type="spellEnd"/>
            <w:r w:rsidRPr="003E29C0">
              <w:rPr>
                <w:lang w:val="en-GB"/>
              </w:rPr>
              <w:t xml:space="preserve"> et al., 2011; Fuertes et al., 2013)</w:t>
            </w:r>
          </w:p>
        </w:tc>
      </w:tr>
      <w:tr w:rsidR="0011774D" w:rsidRPr="003E29C0" w14:paraId="309E754F" w14:textId="77777777" w:rsidTr="0020542A">
        <w:trPr>
          <w:trHeight w:val="534"/>
        </w:trPr>
        <w:tc>
          <w:tcPr>
            <w:tcW w:w="0" w:type="auto"/>
            <w:vMerge/>
          </w:tcPr>
          <w:p w14:paraId="180B2094" w14:textId="77777777" w:rsidR="0011774D" w:rsidRPr="003E29C0" w:rsidRDefault="0011774D" w:rsidP="003E29C0">
            <w:pPr>
              <w:pStyle w:val="HED-tablebody"/>
              <w:jc w:val="left"/>
              <w:rPr>
                <w:b/>
                <w:lang w:val="en-GB"/>
              </w:rPr>
            </w:pPr>
          </w:p>
        </w:tc>
        <w:tc>
          <w:tcPr>
            <w:tcW w:w="0" w:type="auto"/>
            <w:vAlign w:val="center"/>
          </w:tcPr>
          <w:p w14:paraId="7DED8FD9" w14:textId="495CAEAD" w:rsidR="0011774D" w:rsidRPr="003E29C0" w:rsidRDefault="0011774D" w:rsidP="003E29C0">
            <w:pPr>
              <w:pStyle w:val="HED-tablebody"/>
              <w:jc w:val="left"/>
              <w:rPr>
                <w:lang w:val="en-GB"/>
              </w:rPr>
            </w:pPr>
            <w:r w:rsidRPr="003E29C0">
              <w:rPr>
                <w:lang w:val="en-GB"/>
              </w:rPr>
              <w:t>Gaining a competitive advantage (</w:t>
            </w:r>
            <w:proofErr w:type="spellStart"/>
            <w:r w:rsidRPr="003E29C0">
              <w:rPr>
                <w:lang w:val="en-GB"/>
              </w:rPr>
              <w:t>Bilinska</w:t>
            </w:r>
            <w:proofErr w:type="spellEnd"/>
            <w:r w:rsidRPr="003E29C0">
              <w:rPr>
                <w:lang w:val="en-GB"/>
              </w:rPr>
              <w:t>-Reformat</w:t>
            </w:r>
            <w:r w:rsidR="00623368" w:rsidRPr="003E29C0">
              <w:rPr>
                <w:lang w:val="en-GB"/>
              </w:rPr>
              <w:t xml:space="preserve"> </w:t>
            </w:r>
            <w:r w:rsidR="00623368" w:rsidRPr="003E29C0">
              <w:rPr>
                <w:szCs w:val="18"/>
                <w:lang w:val="en-GB"/>
              </w:rPr>
              <w:t>&amp;</w:t>
            </w:r>
            <w:r w:rsidRPr="003E29C0">
              <w:rPr>
                <w:lang w:val="en-GB"/>
              </w:rPr>
              <w:t xml:space="preserve"> Stanczyk, 2018)</w:t>
            </w:r>
          </w:p>
        </w:tc>
        <w:tc>
          <w:tcPr>
            <w:tcW w:w="0" w:type="auto"/>
            <w:vAlign w:val="center"/>
          </w:tcPr>
          <w:p w14:paraId="1DB47FFB" w14:textId="77777777" w:rsidR="0011774D" w:rsidRPr="003E29C0" w:rsidRDefault="0011774D" w:rsidP="003E29C0">
            <w:pPr>
              <w:pStyle w:val="HED-tablebody"/>
              <w:jc w:val="left"/>
              <w:rPr>
                <w:lang w:val="en-GB"/>
              </w:rPr>
            </w:pPr>
            <w:r w:rsidRPr="003E29C0">
              <w:rPr>
                <w:lang w:val="en-GB"/>
              </w:rPr>
              <w:t>The necessity to change existing communication models</w:t>
            </w:r>
          </w:p>
        </w:tc>
      </w:tr>
      <w:tr w:rsidR="0011774D" w:rsidRPr="003E29C0" w14:paraId="45AC3CCA" w14:textId="77777777" w:rsidTr="0020542A">
        <w:trPr>
          <w:trHeight w:val="406"/>
        </w:trPr>
        <w:tc>
          <w:tcPr>
            <w:tcW w:w="0" w:type="auto"/>
            <w:vMerge/>
          </w:tcPr>
          <w:p w14:paraId="4A072939" w14:textId="77777777" w:rsidR="0011774D" w:rsidRPr="003E29C0" w:rsidRDefault="0011774D" w:rsidP="003E29C0">
            <w:pPr>
              <w:pStyle w:val="HED-tablebody"/>
              <w:jc w:val="left"/>
              <w:rPr>
                <w:b/>
                <w:lang w:val="en-GB"/>
              </w:rPr>
            </w:pPr>
          </w:p>
        </w:tc>
        <w:tc>
          <w:tcPr>
            <w:tcW w:w="0" w:type="auto"/>
            <w:vAlign w:val="center"/>
          </w:tcPr>
          <w:p w14:paraId="0FC53B2A" w14:textId="77777777" w:rsidR="0011774D" w:rsidRPr="003E29C0" w:rsidRDefault="0011774D" w:rsidP="003E29C0">
            <w:pPr>
              <w:pStyle w:val="HED-tablebody"/>
              <w:jc w:val="left"/>
              <w:rPr>
                <w:lang w:val="en-GB"/>
              </w:rPr>
            </w:pPr>
            <w:r w:rsidRPr="003E29C0">
              <w:rPr>
                <w:lang w:val="en-GB"/>
              </w:rPr>
              <w:t>Improving the performance and excellence of organizations (</w:t>
            </w:r>
            <w:proofErr w:type="spellStart"/>
            <w:r w:rsidRPr="003E29C0">
              <w:rPr>
                <w:lang w:val="en-GB"/>
              </w:rPr>
              <w:t>Blomé</w:t>
            </w:r>
            <w:proofErr w:type="spellEnd"/>
            <w:r w:rsidRPr="003E29C0">
              <w:rPr>
                <w:lang w:val="en-GB"/>
              </w:rPr>
              <w:t xml:space="preserve"> et al., 2018)</w:t>
            </w:r>
          </w:p>
        </w:tc>
        <w:tc>
          <w:tcPr>
            <w:tcW w:w="0" w:type="auto"/>
            <w:vAlign w:val="center"/>
          </w:tcPr>
          <w:p w14:paraId="1C7B6A5D" w14:textId="034AB451" w:rsidR="0011774D" w:rsidRPr="003E29C0" w:rsidRDefault="0011774D" w:rsidP="003E29C0">
            <w:pPr>
              <w:pStyle w:val="HED-tablebody"/>
              <w:jc w:val="left"/>
              <w:rPr>
                <w:lang w:val="en-GB"/>
              </w:rPr>
            </w:pPr>
            <w:r w:rsidRPr="003E29C0">
              <w:rPr>
                <w:lang w:val="en-GB"/>
              </w:rPr>
              <w:t>The risk of failing to manage age diversity (</w:t>
            </w:r>
            <w:proofErr w:type="spellStart"/>
            <w:r w:rsidRPr="003E29C0">
              <w:rPr>
                <w:lang w:val="en-GB"/>
              </w:rPr>
              <w:t>Joniaková</w:t>
            </w:r>
            <w:proofErr w:type="spellEnd"/>
            <w:r w:rsidR="00623368" w:rsidRPr="003E29C0">
              <w:rPr>
                <w:lang w:val="en-GB"/>
              </w:rPr>
              <w:t xml:space="preserve"> </w:t>
            </w:r>
            <w:r w:rsidR="00623368" w:rsidRPr="003E29C0">
              <w:rPr>
                <w:szCs w:val="18"/>
                <w:lang w:val="en-GB"/>
              </w:rPr>
              <w:t>&amp;</w:t>
            </w:r>
            <w:r w:rsidRPr="003E29C0">
              <w:rPr>
                <w:lang w:val="en-GB"/>
              </w:rPr>
              <w:t xml:space="preserve"> </w:t>
            </w:r>
            <w:proofErr w:type="spellStart"/>
            <w:r w:rsidRPr="003E29C0">
              <w:rPr>
                <w:lang w:val="en-GB"/>
              </w:rPr>
              <w:t>Blštáková</w:t>
            </w:r>
            <w:proofErr w:type="spellEnd"/>
            <w:r w:rsidRPr="003E29C0">
              <w:rPr>
                <w:lang w:val="en-GB"/>
              </w:rPr>
              <w:t>, 2015)</w:t>
            </w:r>
          </w:p>
        </w:tc>
      </w:tr>
      <w:tr w:rsidR="0011774D" w:rsidRPr="003E29C0" w14:paraId="7807B934" w14:textId="77777777" w:rsidTr="0020542A">
        <w:trPr>
          <w:trHeight w:val="267"/>
        </w:trPr>
        <w:tc>
          <w:tcPr>
            <w:tcW w:w="0" w:type="auto"/>
            <w:vMerge/>
          </w:tcPr>
          <w:p w14:paraId="7BA4E466" w14:textId="77777777" w:rsidR="0011774D" w:rsidRPr="003E29C0" w:rsidRDefault="0011774D" w:rsidP="003E29C0">
            <w:pPr>
              <w:pStyle w:val="HED-tablebody"/>
              <w:jc w:val="left"/>
              <w:rPr>
                <w:b/>
                <w:lang w:val="en-GB"/>
              </w:rPr>
            </w:pPr>
          </w:p>
        </w:tc>
        <w:tc>
          <w:tcPr>
            <w:tcW w:w="0" w:type="auto"/>
            <w:vAlign w:val="center"/>
          </w:tcPr>
          <w:p w14:paraId="7FDB2725" w14:textId="77777777" w:rsidR="0011774D" w:rsidRPr="003E29C0" w:rsidRDefault="0011774D" w:rsidP="003E29C0">
            <w:pPr>
              <w:pStyle w:val="HED-tablebody"/>
              <w:jc w:val="left"/>
              <w:rPr>
                <w:lang w:val="en-GB"/>
              </w:rPr>
            </w:pPr>
            <w:r w:rsidRPr="003E29C0">
              <w:rPr>
                <w:lang w:val="en-GB"/>
              </w:rPr>
              <w:t>Improving crisis management</w:t>
            </w:r>
          </w:p>
        </w:tc>
        <w:tc>
          <w:tcPr>
            <w:tcW w:w="0" w:type="auto"/>
            <w:vAlign w:val="center"/>
          </w:tcPr>
          <w:p w14:paraId="1579ADA8" w14:textId="119A8EA4" w:rsidR="0011774D" w:rsidRPr="003E29C0" w:rsidRDefault="0011774D" w:rsidP="003E29C0">
            <w:pPr>
              <w:pStyle w:val="HED-tablebody"/>
              <w:jc w:val="left"/>
              <w:rPr>
                <w:lang w:val="en-GB"/>
              </w:rPr>
            </w:pPr>
            <w:r w:rsidRPr="003E29C0">
              <w:rPr>
                <w:lang w:val="en-GB"/>
              </w:rPr>
              <w:t>The necessity of organizational change (</w:t>
            </w:r>
            <w:proofErr w:type="spellStart"/>
            <w:r w:rsidRPr="003E29C0">
              <w:rPr>
                <w:lang w:val="en-GB"/>
              </w:rPr>
              <w:t>Joniaková</w:t>
            </w:r>
            <w:proofErr w:type="spellEnd"/>
            <w:r w:rsidR="0096220A" w:rsidRPr="003E29C0">
              <w:rPr>
                <w:lang w:val="en-GB"/>
              </w:rPr>
              <w:t xml:space="preserve"> </w:t>
            </w:r>
            <w:r w:rsidR="0096220A" w:rsidRPr="003E29C0">
              <w:rPr>
                <w:szCs w:val="18"/>
                <w:lang w:val="en-GB"/>
              </w:rPr>
              <w:t>&amp;</w:t>
            </w:r>
            <w:r w:rsidRPr="003E29C0">
              <w:rPr>
                <w:lang w:val="en-GB"/>
              </w:rPr>
              <w:t xml:space="preserve"> </w:t>
            </w:r>
            <w:proofErr w:type="spellStart"/>
            <w:r w:rsidRPr="003E29C0">
              <w:rPr>
                <w:lang w:val="en-GB"/>
              </w:rPr>
              <w:t>Blštáková</w:t>
            </w:r>
            <w:proofErr w:type="spellEnd"/>
            <w:r w:rsidRPr="003E29C0">
              <w:rPr>
                <w:lang w:val="en-GB"/>
              </w:rPr>
              <w:t xml:space="preserve">, 2015; </w:t>
            </w:r>
            <w:proofErr w:type="spellStart"/>
            <w:r w:rsidRPr="003E29C0">
              <w:rPr>
                <w:lang w:val="en-GB"/>
              </w:rPr>
              <w:t>Garavaglia</w:t>
            </w:r>
            <w:proofErr w:type="spellEnd"/>
            <w:r w:rsidRPr="003E29C0">
              <w:rPr>
                <w:lang w:val="en-GB"/>
              </w:rPr>
              <w:t xml:space="preserve"> et al., 2021)</w:t>
            </w:r>
          </w:p>
        </w:tc>
      </w:tr>
      <w:tr w:rsidR="0011774D" w:rsidRPr="003E29C0" w14:paraId="1D8F8624" w14:textId="77777777" w:rsidTr="0020542A">
        <w:trPr>
          <w:trHeight w:val="271"/>
        </w:trPr>
        <w:tc>
          <w:tcPr>
            <w:tcW w:w="0" w:type="auto"/>
            <w:vMerge/>
          </w:tcPr>
          <w:p w14:paraId="5B59026A" w14:textId="77777777" w:rsidR="0011774D" w:rsidRPr="003E29C0" w:rsidRDefault="0011774D" w:rsidP="003E29C0">
            <w:pPr>
              <w:pStyle w:val="HED-tablebody"/>
              <w:jc w:val="left"/>
              <w:rPr>
                <w:b/>
                <w:lang w:val="en-GB"/>
              </w:rPr>
            </w:pPr>
          </w:p>
        </w:tc>
        <w:tc>
          <w:tcPr>
            <w:tcW w:w="0" w:type="auto"/>
            <w:vAlign w:val="center"/>
          </w:tcPr>
          <w:p w14:paraId="00BE8689" w14:textId="3F8370EE" w:rsidR="0011774D" w:rsidRPr="003E29C0" w:rsidRDefault="0011774D" w:rsidP="003E29C0">
            <w:pPr>
              <w:pStyle w:val="HED-tablebody"/>
              <w:jc w:val="left"/>
              <w:rPr>
                <w:lang w:val="en-GB"/>
              </w:rPr>
            </w:pPr>
            <w:r w:rsidRPr="003E29C0">
              <w:rPr>
                <w:lang w:val="en-GB"/>
              </w:rPr>
              <w:t>Improving organizational culture and climate (Atkinson</w:t>
            </w:r>
            <w:r w:rsidR="000A110D" w:rsidRPr="003E29C0">
              <w:rPr>
                <w:lang w:val="en-GB"/>
              </w:rPr>
              <w:t xml:space="preserve"> </w:t>
            </w:r>
            <w:r w:rsidR="000A110D" w:rsidRPr="003E29C0">
              <w:rPr>
                <w:szCs w:val="18"/>
                <w:lang w:val="en-GB"/>
              </w:rPr>
              <w:t>&amp;</w:t>
            </w:r>
            <w:r w:rsidRPr="003E29C0">
              <w:rPr>
                <w:lang w:val="en-GB"/>
              </w:rPr>
              <w:t xml:space="preserve"> Sandiford, 2016)</w:t>
            </w:r>
          </w:p>
        </w:tc>
        <w:tc>
          <w:tcPr>
            <w:tcW w:w="0" w:type="auto"/>
            <w:vAlign w:val="center"/>
          </w:tcPr>
          <w:p w14:paraId="283BEA12" w14:textId="000DB95E" w:rsidR="0011774D" w:rsidRPr="003E29C0" w:rsidRDefault="0011774D" w:rsidP="003E29C0">
            <w:pPr>
              <w:pStyle w:val="HED-tablebody"/>
              <w:jc w:val="left"/>
              <w:rPr>
                <w:lang w:val="en-GB"/>
              </w:rPr>
            </w:pPr>
            <w:r w:rsidRPr="003E29C0">
              <w:rPr>
                <w:lang w:val="en-GB"/>
              </w:rPr>
              <w:t xml:space="preserve">The need for change in </w:t>
            </w:r>
            <w:r w:rsidR="001418AA" w:rsidRPr="003E29C0">
              <w:rPr>
                <w:lang w:val="en-GB"/>
              </w:rPr>
              <w:t>corporate</w:t>
            </w:r>
            <w:r w:rsidRPr="003E29C0">
              <w:rPr>
                <w:lang w:val="en-GB"/>
              </w:rPr>
              <w:t xml:space="preserve"> culture (</w:t>
            </w:r>
            <w:proofErr w:type="spellStart"/>
            <w:r w:rsidRPr="003E29C0">
              <w:rPr>
                <w:lang w:val="en-GB"/>
              </w:rPr>
              <w:t>Joniaková</w:t>
            </w:r>
            <w:proofErr w:type="spellEnd"/>
            <w:r w:rsidR="0096220A" w:rsidRPr="003E29C0">
              <w:rPr>
                <w:lang w:val="en-GB"/>
              </w:rPr>
              <w:t xml:space="preserve"> </w:t>
            </w:r>
            <w:r w:rsidR="0096220A" w:rsidRPr="003E29C0">
              <w:rPr>
                <w:szCs w:val="18"/>
                <w:lang w:val="en-GB"/>
              </w:rPr>
              <w:t>&amp;</w:t>
            </w:r>
            <w:r w:rsidRPr="003E29C0">
              <w:rPr>
                <w:lang w:val="en-GB"/>
              </w:rPr>
              <w:t xml:space="preserve"> </w:t>
            </w:r>
            <w:proofErr w:type="spellStart"/>
            <w:r w:rsidRPr="003E29C0">
              <w:rPr>
                <w:lang w:val="en-GB"/>
              </w:rPr>
              <w:t>Blštáková</w:t>
            </w:r>
            <w:proofErr w:type="spellEnd"/>
            <w:r w:rsidRPr="003E29C0">
              <w:rPr>
                <w:lang w:val="en-GB"/>
              </w:rPr>
              <w:t>, 2015)</w:t>
            </w:r>
          </w:p>
        </w:tc>
      </w:tr>
      <w:tr w:rsidR="0011774D" w:rsidRPr="003E29C0" w14:paraId="7A961F62" w14:textId="77777777" w:rsidTr="0020542A">
        <w:trPr>
          <w:trHeight w:val="137"/>
        </w:trPr>
        <w:tc>
          <w:tcPr>
            <w:tcW w:w="0" w:type="auto"/>
            <w:vMerge/>
          </w:tcPr>
          <w:p w14:paraId="2619CAA4" w14:textId="77777777" w:rsidR="0011774D" w:rsidRPr="003E29C0" w:rsidRDefault="0011774D" w:rsidP="003E29C0">
            <w:pPr>
              <w:pStyle w:val="HED-tablebody"/>
              <w:jc w:val="left"/>
              <w:rPr>
                <w:b/>
                <w:lang w:val="en-GB"/>
              </w:rPr>
            </w:pPr>
          </w:p>
        </w:tc>
        <w:tc>
          <w:tcPr>
            <w:tcW w:w="0" w:type="auto"/>
            <w:vAlign w:val="center"/>
          </w:tcPr>
          <w:p w14:paraId="467FB036" w14:textId="77777777" w:rsidR="0011774D" w:rsidRPr="003E29C0" w:rsidRDefault="0011774D" w:rsidP="003E29C0">
            <w:pPr>
              <w:pStyle w:val="HED-tablebody"/>
              <w:jc w:val="left"/>
              <w:rPr>
                <w:lang w:val="en-GB"/>
              </w:rPr>
            </w:pPr>
            <w:r w:rsidRPr="003E29C0">
              <w:rPr>
                <w:lang w:val="en-GB"/>
              </w:rPr>
              <w:t>Talent acquisition</w:t>
            </w:r>
          </w:p>
        </w:tc>
        <w:tc>
          <w:tcPr>
            <w:tcW w:w="0" w:type="auto"/>
            <w:vAlign w:val="center"/>
          </w:tcPr>
          <w:p w14:paraId="2B97D369" w14:textId="77777777" w:rsidR="0011774D" w:rsidRPr="003E29C0" w:rsidRDefault="0011774D" w:rsidP="003E29C0">
            <w:pPr>
              <w:pStyle w:val="HED-tablebody"/>
              <w:jc w:val="left"/>
              <w:rPr>
                <w:lang w:val="en-GB"/>
              </w:rPr>
            </w:pPr>
            <w:r w:rsidRPr="003E29C0">
              <w:rPr>
                <w:lang w:val="en-GB"/>
              </w:rPr>
              <w:t>Limited personnel capacity for implementation (</w:t>
            </w:r>
            <w:proofErr w:type="spellStart"/>
            <w:r w:rsidRPr="003E29C0">
              <w:rPr>
                <w:lang w:val="en-GB"/>
              </w:rPr>
              <w:t>Blomé</w:t>
            </w:r>
            <w:proofErr w:type="spellEnd"/>
            <w:r w:rsidRPr="003E29C0">
              <w:rPr>
                <w:lang w:val="en-GB"/>
              </w:rPr>
              <w:t xml:space="preserve"> et al., 2018)</w:t>
            </w:r>
          </w:p>
        </w:tc>
      </w:tr>
      <w:tr w:rsidR="0011774D" w:rsidRPr="003E29C0" w14:paraId="19227771" w14:textId="77777777" w:rsidTr="0020542A">
        <w:trPr>
          <w:trHeight w:val="271"/>
        </w:trPr>
        <w:tc>
          <w:tcPr>
            <w:tcW w:w="0" w:type="auto"/>
            <w:vMerge/>
          </w:tcPr>
          <w:p w14:paraId="6C3EF44D" w14:textId="77777777" w:rsidR="0011774D" w:rsidRPr="003E29C0" w:rsidRDefault="0011774D" w:rsidP="003E29C0">
            <w:pPr>
              <w:pStyle w:val="HED-tablebody"/>
              <w:jc w:val="left"/>
              <w:rPr>
                <w:b/>
                <w:lang w:val="en-GB"/>
              </w:rPr>
            </w:pPr>
          </w:p>
        </w:tc>
        <w:tc>
          <w:tcPr>
            <w:tcW w:w="0" w:type="auto"/>
            <w:vAlign w:val="center"/>
          </w:tcPr>
          <w:p w14:paraId="462F17FF" w14:textId="77777777" w:rsidR="0011774D" w:rsidRPr="003E29C0" w:rsidRDefault="0011774D" w:rsidP="003E29C0">
            <w:pPr>
              <w:pStyle w:val="HED-tablebody"/>
              <w:jc w:val="left"/>
              <w:rPr>
                <w:lang w:val="en-GB"/>
              </w:rPr>
            </w:pPr>
            <w:r w:rsidRPr="003E29C0">
              <w:rPr>
                <w:lang w:val="en-GB"/>
              </w:rPr>
              <w:t>Retention of key employees (</w:t>
            </w:r>
            <w:proofErr w:type="spellStart"/>
            <w:r w:rsidRPr="003E29C0">
              <w:rPr>
                <w:lang w:val="en-GB"/>
              </w:rPr>
              <w:t>Blomé</w:t>
            </w:r>
            <w:proofErr w:type="spellEnd"/>
            <w:r w:rsidRPr="003E29C0">
              <w:rPr>
                <w:lang w:val="en-GB"/>
              </w:rPr>
              <w:t xml:space="preserve"> et al., 2018)</w:t>
            </w:r>
          </w:p>
        </w:tc>
        <w:tc>
          <w:tcPr>
            <w:tcW w:w="0" w:type="auto"/>
            <w:vAlign w:val="center"/>
          </w:tcPr>
          <w:p w14:paraId="17B86C61" w14:textId="55AC46C7" w:rsidR="0011774D" w:rsidRPr="003E29C0" w:rsidRDefault="001418AA" w:rsidP="003E29C0">
            <w:pPr>
              <w:pStyle w:val="HED-tablebody"/>
              <w:jc w:val="left"/>
              <w:rPr>
                <w:lang w:val="en-GB"/>
              </w:rPr>
            </w:pPr>
            <w:r w:rsidRPr="003E29C0">
              <w:rPr>
                <w:lang w:val="en-GB"/>
              </w:rPr>
              <w:t>The i</w:t>
            </w:r>
            <w:r w:rsidR="0011774D" w:rsidRPr="003E29C0">
              <w:rPr>
                <w:lang w:val="en-GB"/>
              </w:rPr>
              <w:t>nexperience of HR staff in this area.</w:t>
            </w:r>
          </w:p>
        </w:tc>
      </w:tr>
      <w:tr w:rsidR="0011774D" w:rsidRPr="003E29C0" w14:paraId="2DBC2FD4" w14:textId="77777777" w:rsidTr="0020542A">
        <w:trPr>
          <w:trHeight w:val="400"/>
        </w:trPr>
        <w:tc>
          <w:tcPr>
            <w:tcW w:w="0" w:type="auto"/>
            <w:vMerge/>
          </w:tcPr>
          <w:p w14:paraId="5A4CF859" w14:textId="77777777" w:rsidR="0011774D" w:rsidRPr="003E29C0" w:rsidRDefault="0011774D" w:rsidP="003E29C0">
            <w:pPr>
              <w:pStyle w:val="HED-tablebody"/>
              <w:jc w:val="left"/>
              <w:rPr>
                <w:b/>
                <w:lang w:val="en-GB"/>
              </w:rPr>
            </w:pPr>
          </w:p>
        </w:tc>
        <w:tc>
          <w:tcPr>
            <w:tcW w:w="0" w:type="auto"/>
            <w:vAlign w:val="center"/>
          </w:tcPr>
          <w:p w14:paraId="55E0676A" w14:textId="77777777" w:rsidR="0011774D" w:rsidRPr="003E29C0" w:rsidRDefault="0011774D" w:rsidP="003E29C0">
            <w:pPr>
              <w:pStyle w:val="HED-tablebody"/>
              <w:jc w:val="left"/>
              <w:rPr>
                <w:lang w:val="en-GB"/>
              </w:rPr>
            </w:pPr>
            <w:r w:rsidRPr="003E29C0">
              <w:rPr>
                <w:lang w:val="en-GB"/>
              </w:rPr>
              <w:t>Raising awareness and organizational autonomy (</w:t>
            </w:r>
            <w:proofErr w:type="spellStart"/>
            <w:r w:rsidRPr="003E29C0">
              <w:rPr>
                <w:lang w:val="en-GB"/>
              </w:rPr>
              <w:t>Garavaglia</w:t>
            </w:r>
            <w:proofErr w:type="spellEnd"/>
            <w:r w:rsidRPr="003E29C0">
              <w:rPr>
                <w:lang w:val="en-GB"/>
              </w:rPr>
              <w:t xml:space="preserve"> et al., 2021)</w:t>
            </w:r>
          </w:p>
        </w:tc>
        <w:tc>
          <w:tcPr>
            <w:tcW w:w="0" w:type="auto"/>
            <w:vAlign w:val="center"/>
          </w:tcPr>
          <w:p w14:paraId="1CEC3BBB" w14:textId="2236449C" w:rsidR="0011774D" w:rsidRPr="003E29C0" w:rsidRDefault="0011774D" w:rsidP="003E29C0">
            <w:pPr>
              <w:pStyle w:val="HED-tablebody"/>
              <w:jc w:val="left"/>
              <w:rPr>
                <w:lang w:val="en-GB"/>
              </w:rPr>
            </w:pPr>
            <w:r w:rsidRPr="003E29C0">
              <w:rPr>
                <w:lang w:val="en-GB"/>
              </w:rPr>
              <w:t xml:space="preserve">The need to raise awareness and support for its application at the social and </w:t>
            </w:r>
            <w:r w:rsidR="001418AA" w:rsidRPr="003E29C0">
              <w:rPr>
                <w:lang w:val="en-GB"/>
              </w:rPr>
              <w:t>corporate</w:t>
            </w:r>
            <w:r w:rsidRPr="003E29C0">
              <w:rPr>
                <w:lang w:val="en-GB"/>
              </w:rPr>
              <w:t xml:space="preserve"> level (</w:t>
            </w:r>
            <w:proofErr w:type="spellStart"/>
            <w:r w:rsidRPr="003E29C0">
              <w:rPr>
                <w:lang w:val="en-GB"/>
              </w:rPr>
              <w:t>Aliaj</w:t>
            </w:r>
            <w:proofErr w:type="spellEnd"/>
            <w:r w:rsidRPr="003E29C0">
              <w:rPr>
                <w:lang w:val="en-GB"/>
              </w:rPr>
              <w:t xml:space="preserve"> et al., 2016)</w:t>
            </w:r>
          </w:p>
        </w:tc>
      </w:tr>
      <w:tr w:rsidR="0011774D" w:rsidRPr="003E29C0" w14:paraId="5506D4F4" w14:textId="77777777" w:rsidTr="0020542A">
        <w:trPr>
          <w:trHeight w:val="534"/>
        </w:trPr>
        <w:tc>
          <w:tcPr>
            <w:tcW w:w="0" w:type="auto"/>
            <w:vMerge w:val="restart"/>
            <w:vAlign w:val="center"/>
          </w:tcPr>
          <w:p w14:paraId="2783A904" w14:textId="77777777" w:rsidR="0011774D" w:rsidRPr="003E29C0" w:rsidRDefault="0011774D" w:rsidP="003E29C0">
            <w:pPr>
              <w:pStyle w:val="HED-tablebody"/>
              <w:jc w:val="left"/>
              <w:rPr>
                <w:b/>
                <w:lang w:val="en-GB"/>
              </w:rPr>
            </w:pPr>
            <w:r w:rsidRPr="003E29C0">
              <w:rPr>
                <w:b/>
                <w:lang w:val="en-GB"/>
              </w:rPr>
              <w:t>Social aspect</w:t>
            </w:r>
          </w:p>
        </w:tc>
        <w:tc>
          <w:tcPr>
            <w:tcW w:w="0" w:type="auto"/>
            <w:vAlign w:val="center"/>
          </w:tcPr>
          <w:p w14:paraId="00F7BF7F" w14:textId="28308B06" w:rsidR="0011774D" w:rsidRPr="003E29C0" w:rsidRDefault="0011774D" w:rsidP="003E29C0">
            <w:pPr>
              <w:pStyle w:val="HED-tablebody"/>
              <w:jc w:val="left"/>
              <w:rPr>
                <w:lang w:val="en-GB"/>
              </w:rPr>
            </w:pPr>
            <w:r w:rsidRPr="003E29C0">
              <w:rPr>
                <w:lang w:val="en-GB"/>
              </w:rPr>
              <w:t>Mitigating the consequences of adverse demographic development (</w:t>
            </w:r>
            <w:proofErr w:type="spellStart"/>
            <w:r w:rsidRPr="003E29C0">
              <w:rPr>
                <w:lang w:val="en-GB"/>
              </w:rPr>
              <w:t>Ciutiene</w:t>
            </w:r>
            <w:proofErr w:type="spellEnd"/>
            <w:r w:rsidR="0096220A" w:rsidRPr="003E29C0">
              <w:rPr>
                <w:lang w:val="en-GB"/>
              </w:rPr>
              <w:t xml:space="preserve"> </w:t>
            </w:r>
            <w:r w:rsidR="0096220A" w:rsidRPr="003E29C0">
              <w:rPr>
                <w:szCs w:val="18"/>
                <w:lang w:val="en-GB"/>
              </w:rPr>
              <w:t>&amp;</w:t>
            </w:r>
            <w:r w:rsidRPr="003E29C0">
              <w:rPr>
                <w:lang w:val="en-GB"/>
              </w:rPr>
              <w:t xml:space="preserve"> </w:t>
            </w:r>
            <w:proofErr w:type="spellStart"/>
            <w:r w:rsidRPr="003E29C0">
              <w:rPr>
                <w:lang w:val="en-GB"/>
              </w:rPr>
              <w:t>Railaite</w:t>
            </w:r>
            <w:proofErr w:type="spellEnd"/>
            <w:r w:rsidRPr="003E29C0">
              <w:rPr>
                <w:lang w:val="en-GB"/>
              </w:rPr>
              <w:t xml:space="preserve">, 2015; </w:t>
            </w:r>
            <w:proofErr w:type="spellStart"/>
            <w:r w:rsidRPr="003E29C0">
              <w:rPr>
                <w:lang w:val="en-GB"/>
              </w:rPr>
              <w:t>Joniaková</w:t>
            </w:r>
            <w:proofErr w:type="spellEnd"/>
            <w:r w:rsidR="0096220A" w:rsidRPr="003E29C0">
              <w:rPr>
                <w:lang w:val="en-GB"/>
              </w:rPr>
              <w:t xml:space="preserve"> </w:t>
            </w:r>
            <w:r w:rsidR="0096220A" w:rsidRPr="003E29C0">
              <w:rPr>
                <w:szCs w:val="18"/>
                <w:lang w:val="en-GB"/>
              </w:rPr>
              <w:t>&amp;</w:t>
            </w:r>
            <w:r w:rsidRPr="003E29C0">
              <w:rPr>
                <w:lang w:val="en-GB"/>
              </w:rPr>
              <w:t xml:space="preserve"> </w:t>
            </w:r>
            <w:proofErr w:type="spellStart"/>
            <w:r w:rsidRPr="003E29C0">
              <w:rPr>
                <w:lang w:val="en-GB"/>
              </w:rPr>
              <w:t>Blštáková</w:t>
            </w:r>
            <w:proofErr w:type="spellEnd"/>
            <w:r w:rsidRPr="003E29C0">
              <w:rPr>
                <w:lang w:val="en-GB"/>
              </w:rPr>
              <w:t xml:space="preserve">, 2015; </w:t>
            </w:r>
            <w:proofErr w:type="spellStart"/>
            <w:r w:rsidRPr="003E29C0">
              <w:rPr>
                <w:lang w:val="en-GB"/>
              </w:rPr>
              <w:t>Feißel</w:t>
            </w:r>
            <w:proofErr w:type="spellEnd"/>
            <w:r w:rsidRPr="003E29C0">
              <w:rPr>
                <w:lang w:val="en-GB"/>
              </w:rPr>
              <w:t xml:space="preserve"> et al., 2018)</w:t>
            </w:r>
          </w:p>
        </w:tc>
        <w:tc>
          <w:tcPr>
            <w:tcW w:w="0" w:type="auto"/>
            <w:vAlign w:val="center"/>
          </w:tcPr>
          <w:p w14:paraId="3B7A11BA" w14:textId="77777777" w:rsidR="0011774D" w:rsidRPr="003E29C0" w:rsidRDefault="0011774D" w:rsidP="003E29C0">
            <w:pPr>
              <w:pStyle w:val="HED-tablebody"/>
              <w:jc w:val="left"/>
              <w:rPr>
                <w:lang w:val="en-GB"/>
              </w:rPr>
            </w:pPr>
            <w:r w:rsidRPr="003E29C0">
              <w:rPr>
                <w:lang w:val="en-GB"/>
              </w:rPr>
              <w:t>The increasing complexity of the business environment</w:t>
            </w:r>
          </w:p>
        </w:tc>
      </w:tr>
      <w:tr w:rsidR="0011774D" w:rsidRPr="003E29C0" w14:paraId="1B82AA79" w14:textId="77777777" w:rsidTr="0020542A">
        <w:trPr>
          <w:trHeight w:val="534"/>
        </w:trPr>
        <w:tc>
          <w:tcPr>
            <w:tcW w:w="0" w:type="auto"/>
            <w:vMerge/>
          </w:tcPr>
          <w:p w14:paraId="0224656B" w14:textId="77777777" w:rsidR="0011774D" w:rsidRPr="003E29C0" w:rsidRDefault="0011774D" w:rsidP="003E29C0">
            <w:pPr>
              <w:pStyle w:val="HED-tablebody"/>
              <w:jc w:val="left"/>
              <w:rPr>
                <w:b/>
                <w:lang w:val="en-GB"/>
              </w:rPr>
            </w:pPr>
          </w:p>
        </w:tc>
        <w:tc>
          <w:tcPr>
            <w:tcW w:w="0" w:type="auto"/>
            <w:vAlign w:val="center"/>
          </w:tcPr>
          <w:p w14:paraId="49536601" w14:textId="77777777" w:rsidR="0011774D" w:rsidRPr="003E29C0" w:rsidRDefault="0011774D" w:rsidP="003E29C0">
            <w:pPr>
              <w:pStyle w:val="HED-tablebody"/>
              <w:jc w:val="left"/>
              <w:rPr>
                <w:lang w:val="en-GB"/>
              </w:rPr>
            </w:pPr>
            <w:r w:rsidRPr="003E29C0">
              <w:rPr>
                <w:lang w:val="en-GB"/>
              </w:rPr>
              <w:t>The emphasis on employee health in the population (</w:t>
            </w:r>
            <w:proofErr w:type="spellStart"/>
            <w:r w:rsidRPr="003E29C0">
              <w:rPr>
                <w:lang w:val="en-GB"/>
              </w:rPr>
              <w:t>Aliaj</w:t>
            </w:r>
            <w:proofErr w:type="spellEnd"/>
            <w:r w:rsidRPr="003E29C0">
              <w:rPr>
                <w:lang w:val="en-GB"/>
              </w:rPr>
              <w:t xml:space="preserve"> et al., 2016; </w:t>
            </w:r>
            <w:proofErr w:type="spellStart"/>
            <w:r w:rsidRPr="003E29C0">
              <w:rPr>
                <w:lang w:val="en-GB"/>
              </w:rPr>
              <w:t>Blomé</w:t>
            </w:r>
            <w:proofErr w:type="spellEnd"/>
            <w:r w:rsidRPr="003E29C0">
              <w:rPr>
                <w:lang w:val="en-GB"/>
              </w:rPr>
              <w:t xml:space="preserve"> et al., 2018)</w:t>
            </w:r>
          </w:p>
        </w:tc>
        <w:tc>
          <w:tcPr>
            <w:tcW w:w="0" w:type="auto"/>
            <w:vAlign w:val="center"/>
          </w:tcPr>
          <w:p w14:paraId="1F7D0DAF" w14:textId="77777777" w:rsidR="0011774D" w:rsidRPr="003E29C0" w:rsidRDefault="0011774D" w:rsidP="003E29C0">
            <w:pPr>
              <w:pStyle w:val="HED-tablebody"/>
              <w:jc w:val="left"/>
              <w:rPr>
                <w:lang w:val="en-GB"/>
              </w:rPr>
            </w:pPr>
            <w:r w:rsidRPr="003E29C0">
              <w:rPr>
                <w:lang w:val="en-GB"/>
              </w:rPr>
              <w:t>The impossibility of employing all age groups in all professions (drivers, police, etc.)</w:t>
            </w:r>
          </w:p>
        </w:tc>
      </w:tr>
      <w:tr w:rsidR="0011774D" w:rsidRPr="003E29C0" w14:paraId="2DFEBD28" w14:textId="77777777" w:rsidTr="0020542A">
        <w:trPr>
          <w:trHeight w:val="406"/>
        </w:trPr>
        <w:tc>
          <w:tcPr>
            <w:tcW w:w="0" w:type="auto"/>
            <w:vMerge/>
          </w:tcPr>
          <w:p w14:paraId="7ED2AAC3" w14:textId="77777777" w:rsidR="0011774D" w:rsidRPr="003E29C0" w:rsidRDefault="0011774D" w:rsidP="003E29C0">
            <w:pPr>
              <w:pStyle w:val="HED-tablebody"/>
              <w:jc w:val="left"/>
              <w:rPr>
                <w:b/>
                <w:lang w:val="en-GB"/>
              </w:rPr>
            </w:pPr>
          </w:p>
        </w:tc>
        <w:tc>
          <w:tcPr>
            <w:tcW w:w="0" w:type="auto"/>
            <w:vAlign w:val="center"/>
          </w:tcPr>
          <w:p w14:paraId="72EDEDA1" w14:textId="77777777" w:rsidR="0011774D" w:rsidRPr="003E29C0" w:rsidRDefault="0011774D" w:rsidP="003E29C0">
            <w:pPr>
              <w:pStyle w:val="HED-tablebody"/>
              <w:jc w:val="left"/>
              <w:rPr>
                <w:lang w:val="en-GB"/>
              </w:rPr>
            </w:pPr>
            <w:r w:rsidRPr="003E29C0">
              <w:rPr>
                <w:lang w:val="en-GB"/>
              </w:rPr>
              <w:t>Better social cohesion and communication (</w:t>
            </w:r>
            <w:proofErr w:type="spellStart"/>
            <w:r w:rsidRPr="003E29C0">
              <w:rPr>
                <w:lang w:val="en-GB"/>
              </w:rPr>
              <w:t>Blomé</w:t>
            </w:r>
            <w:proofErr w:type="spellEnd"/>
            <w:r w:rsidRPr="003E29C0">
              <w:rPr>
                <w:lang w:val="en-GB"/>
              </w:rPr>
              <w:t xml:space="preserve"> et al., 2018)</w:t>
            </w:r>
          </w:p>
        </w:tc>
        <w:tc>
          <w:tcPr>
            <w:tcW w:w="0" w:type="auto"/>
            <w:vAlign w:val="center"/>
          </w:tcPr>
          <w:p w14:paraId="2CC21DD2" w14:textId="77777777" w:rsidR="0011774D" w:rsidRPr="003E29C0" w:rsidRDefault="0011774D" w:rsidP="003E29C0">
            <w:pPr>
              <w:pStyle w:val="HED-tablebody"/>
              <w:jc w:val="left"/>
              <w:rPr>
                <w:lang w:val="en-GB"/>
              </w:rPr>
            </w:pPr>
            <w:r w:rsidRPr="003E29C0">
              <w:rPr>
                <w:lang w:val="en-GB"/>
              </w:rPr>
              <w:t>The need for coordination within European policies (</w:t>
            </w:r>
            <w:proofErr w:type="spellStart"/>
            <w:r w:rsidRPr="003E29C0">
              <w:rPr>
                <w:lang w:val="en-GB"/>
              </w:rPr>
              <w:t>Aliaj</w:t>
            </w:r>
            <w:proofErr w:type="spellEnd"/>
            <w:r w:rsidRPr="003E29C0">
              <w:rPr>
                <w:lang w:val="en-GB"/>
              </w:rPr>
              <w:t xml:space="preserve"> et al., 2016)</w:t>
            </w:r>
          </w:p>
        </w:tc>
      </w:tr>
      <w:tr w:rsidR="0011774D" w:rsidRPr="003E29C0" w14:paraId="68DEF80A" w14:textId="77777777" w:rsidTr="0020542A">
        <w:trPr>
          <w:trHeight w:val="400"/>
        </w:trPr>
        <w:tc>
          <w:tcPr>
            <w:tcW w:w="0" w:type="auto"/>
            <w:vMerge/>
          </w:tcPr>
          <w:p w14:paraId="20AB8665" w14:textId="77777777" w:rsidR="0011774D" w:rsidRPr="003E29C0" w:rsidRDefault="0011774D" w:rsidP="003E29C0">
            <w:pPr>
              <w:pStyle w:val="HED-tablebody"/>
              <w:jc w:val="left"/>
              <w:rPr>
                <w:b/>
                <w:lang w:val="en-GB"/>
              </w:rPr>
            </w:pPr>
          </w:p>
        </w:tc>
        <w:tc>
          <w:tcPr>
            <w:tcW w:w="0" w:type="auto"/>
            <w:vAlign w:val="center"/>
          </w:tcPr>
          <w:p w14:paraId="6F4F8284" w14:textId="5740BCF7" w:rsidR="0011774D" w:rsidRPr="003E29C0" w:rsidRDefault="0011774D" w:rsidP="003E29C0">
            <w:pPr>
              <w:pStyle w:val="HED-tablebody"/>
              <w:jc w:val="left"/>
              <w:rPr>
                <w:lang w:val="en-GB"/>
              </w:rPr>
            </w:pPr>
            <w:r w:rsidRPr="003E29C0">
              <w:rPr>
                <w:lang w:val="en-GB"/>
              </w:rPr>
              <w:t xml:space="preserve">The possibility of using support </w:t>
            </w:r>
            <w:r w:rsidR="006335F0" w:rsidRPr="003E29C0">
              <w:rPr>
                <w:lang w:val="en-GB"/>
              </w:rPr>
              <w:t>programs</w:t>
            </w:r>
            <w:r w:rsidRPr="003E29C0">
              <w:rPr>
                <w:lang w:val="en-GB"/>
              </w:rPr>
              <w:t xml:space="preserve"> from the state</w:t>
            </w:r>
          </w:p>
        </w:tc>
        <w:tc>
          <w:tcPr>
            <w:tcW w:w="0" w:type="auto"/>
            <w:vAlign w:val="center"/>
          </w:tcPr>
          <w:p w14:paraId="584EFA23" w14:textId="77777777" w:rsidR="0011774D" w:rsidRPr="003E29C0" w:rsidRDefault="0011774D" w:rsidP="003E29C0">
            <w:pPr>
              <w:pStyle w:val="HED-tablebody"/>
              <w:jc w:val="left"/>
              <w:rPr>
                <w:lang w:val="en-GB"/>
              </w:rPr>
            </w:pPr>
            <w:r w:rsidRPr="003E29C0">
              <w:rPr>
                <w:lang w:val="en-GB"/>
              </w:rPr>
              <w:t>Increasing demands on spending (</w:t>
            </w:r>
            <w:proofErr w:type="spellStart"/>
            <w:r w:rsidRPr="003E29C0">
              <w:rPr>
                <w:lang w:val="en-GB"/>
              </w:rPr>
              <w:t>Aliaj</w:t>
            </w:r>
            <w:proofErr w:type="spellEnd"/>
            <w:r w:rsidRPr="003E29C0">
              <w:rPr>
                <w:lang w:val="en-GB"/>
              </w:rPr>
              <w:t xml:space="preserve"> et al., 2016)</w:t>
            </w:r>
          </w:p>
        </w:tc>
      </w:tr>
      <w:tr w:rsidR="0011774D" w:rsidRPr="003E29C0" w14:paraId="00885D0D" w14:textId="77777777" w:rsidTr="0020542A">
        <w:trPr>
          <w:trHeight w:val="137"/>
        </w:trPr>
        <w:tc>
          <w:tcPr>
            <w:tcW w:w="0" w:type="auto"/>
            <w:vMerge/>
          </w:tcPr>
          <w:p w14:paraId="4CDE83FB" w14:textId="77777777" w:rsidR="0011774D" w:rsidRPr="003E29C0" w:rsidRDefault="0011774D" w:rsidP="003E29C0">
            <w:pPr>
              <w:pStyle w:val="HED-tablebody"/>
              <w:jc w:val="left"/>
              <w:rPr>
                <w:b/>
                <w:lang w:val="en-GB"/>
              </w:rPr>
            </w:pPr>
          </w:p>
        </w:tc>
        <w:tc>
          <w:tcPr>
            <w:tcW w:w="0" w:type="auto"/>
            <w:vAlign w:val="center"/>
          </w:tcPr>
          <w:p w14:paraId="0F7A00B0" w14:textId="57367A09" w:rsidR="0011774D" w:rsidRPr="003E29C0" w:rsidRDefault="0011774D" w:rsidP="003E29C0">
            <w:pPr>
              <w:pStyle w:val="HED-tablebody"/>
              <w:jc w:val="left"/>
              <w:rPr>
                <w:lang w:val="en-GB"/>
              </w:rPr>
            </w:pPr>
            <w:r w:rsidRPr="003E29C0">
              <w:rPr>
                <w:lang w:val="en-GB"/>
              </w:rPr>
              <w:t>Preventing ageism (Fuertes et al., 2013; Atkinson</w:t>
            </w:r>
            <w:r w:rsidR="00270BDE" w:rsidRPr="003E29C0">
              <w:rPr>
                <w:lang w:val="en-GB"/>
              </w:rPr>
              <w:t xml:space="preserve"> </w:t>
            </w:r>
            <w:r w:rsidR="00270BDE" w:rsidRPr="003E29C0">
              <w:rPr>
                <w:szCs w:val="18"/>
                <w:lang w:val="en-GB"/>
              </w:rPr>
              <w:t>&amp;</w:t>
            </w:r>
            <w:r w:rsidRPr="003E29C0">
              <w:rPr>
                <w:lang w:val="en-GB"/>
              </w:rPr>
              <w:t xml:space="preserve"> Sandiford, 2016)</w:t>
            </w:r>
          </w:p>
        </w:tc>
        <w:tc>
          <w:tcPr>
            <w:tcW w:w="0" w:type="auto"/>
            <w:vAlign w:val="center"/>
          </w:tcPr>
          <w:p w14:paraId="567924DF" w14:textId="7ACC016B" w:rsidR="0011774D" w:rsidRPr="003E29C0" w:rsidRDefault="0011774D" w:rsidP="003E29C0">
            <w:pPr>
              <w:pStyle w:val="HED-tablebody"/>
              <w:jc w:val="left"/>
              <w:rPr>
                <w:lang w:val="en-GB"/>
              </w:rPr>
            </w:pPr>
            <w:r w:rsidRPr="003E29C0">
              <w:rPr>
                <w:lang w:val="en-GB"/>
              </w:rPr>
              <w:t>The need for the radical revision of work, pension, health, education, and other processes (</w:t>
            </w:r>
            <w:proofErr w:type="spellStart"/>
            <w:r w:rsidRPr="003E29C0">
              <w:rPr>
                <w:lang w:val="en-GB"/>
              </w:rPr>
              <w:t>Dordoni</w:t>
            </w:r>
            <w:proofErr w:type="spellEnd"/>
            <w:r w:rsidR="006335F0" w:rsidRPr="003E29C0">
              <w:rPr>
                <w:lang w:val="en-GB"/>
              </w:rPr>
              <w:t xml:space="preserve"> </w:t>
            </w:r>
            <w:r w:rsidR="006335F0" w:rsidRPr="003E29C0">
              <w:rPr>
                <w:szCs w:val="18"/>
                <w:lang w:val="en-GB"/>
              </w:rPr>
              <w:t>&amp;</w:t>
            </w:r>
            <w:r w:rsidRPr="003E29C0">
              <w:rPr>
                <w:lang w:val="en-GB"/>
              </w:rPr>
              <w:t xml:space="preserve"> </w:t>
            </w:r>
            <w:proofErr w:type="spellStart"/>
            <w:r w:rsidRPr="003E29C0">
              <w:rPr>
                <w:lang w:val="en-GB"/>
              </w:rPr>
              <w:t>Argentero</w:t>
            </w:r>
            <w:proofErr w:type="spellEnd"/>
            <w:r w:rsidRPr="003E29C0">
              <w:rPr>
                <w:lang w:val="en-GB"/>
              </w:rPr>
              <w:t>, 2015)</w:t>
            </w:r>
          </w:p>
        </w:tc>
      </w:tr>
      <w:tr w:rsidR="0011774D" w:rsidRPr="003E29C0" w14:paraId="588CE77C" w14:textId="77777777" w:rsidTr="0020542A">
        <w:trPr>
          <w:trHeight w:val="137"/>
        </w:trPr>
        <w:tc>
          <w:tcPr>
            <w:tcW w:w="0" w:type="auto"/>
            <w:vMerge/>
          </w:tcPr>
          <w:p w14:paraId="0A666DA1" w14:textId="77777777" w:rsidR="0011774D" w:rsidRPr="003E29C0" w:rsidRDefault="0011774D" w:rsidP="003E29C0">
            <w:pPr>
              <w:pStyle w:val="HED-tablebody"/>
              <w:jc w:val="left"/>
              <w:rPr>
                <w:b/>
                <w:lang w:val="en-GB"/>
              </w:rPr>
            </w:pPr>
          </w:p>
        </w:tc>
        <w:tc>
          <w:tcPr>
            <w:tcW w:w="0" w:type="auto"/>
            <w:vAlign w:val="center"/>
          </w:tcPr>
          <w:p w14:paraId="16886BEB" w14:textId="5E4D6EEF" w:rsidR="0011774D" w:rsidRPr="003E29C0" w:rsidRDefault="0011774D" w:rsidP="003E29C0">
            <w:pPr>
              <w:pStyle w:val="HED-tablebody"/>
              <w:jc w:val="left"/>
              <w:rPr>
                <w:lang w:val="en-GB"/>
              </w:rPr>
            </w:pPr>
            <w:r w:rsidRPr="003E29C0">
              <w:rPr>
                <w:lang w:val="en-GB"/>
              </w:rPr>
              <w:t>Preventing women´s poverty before old age (Earl</w:t>
            </w:r>
            <w:r w:rsidR="006335F0" w:rsidRPr="003E29C0">
              <w:rPr>
                <w:lang w:val="en-GB"/>
              </w:rPr>
              <w:t xml:space="preserve"> </w:t>
            </w:r>
            <w:r w:rsidR="006335F0" w:rsidRPr="003E29C0">
              <w:rPr>
                <w:szCs w:val="18"/>
                <w:lang w:val="en-GB"/>
              </w:rPr>
              <w:t>&amp;</w:t>
            </w:r>
            <w:r w:rsidRPr="003E29C0">
              <w:rPr>
                <w:lang w:val="en-GB"/>
              </w:rPr>
              <w:t xml:space="preserve"> Taylor, 2015; </w:t>
            </w:r>
            <w:proofErr w:type="spellStart"/>
            <w:r w:rsidRPr="003E29C0">
              <w:rPr>
                <w:lang w:val="en-GB"/>
              </w:rPr>
              <w:t>Aliaj</w:t>
            </w:r>
            <w:proofErr w:type="spellEnd"/>
            <w:r w:rsidRPr="003E29C0">
              <w:rPr>
                <w:lang w:val="en-GB"/>
              </w:rPr>
              <w:t xml:space="preserve"> et al., 2016)</w:t>
            </w:r>
          </w:p>
        </w:tc>
        <w:tc>
          <w:tcPr>
            <w:tcW w:w="0" w:type="auto"/>
            <w:vAlign w:val="center"/>
          </w:tcPr>
          <w:p w14:paraId="0AA0DEB8" w14:textId="743AE363" w:rsidR="0011774D" w:rsidRPr="003E29C0" w:rsidRDefault="0011774D" w:rsidP="003E29C0">
            <w:pPr>
              <w:pStyle w:val="HED-tablebody"/>
              <w:jc w:val="left"/>
              <w:rPr>
                <w:lang w:val="en-GB"/>
              </w:rPr>
            </w:pPr>
            <w:r w:rsidRPr="003E29C0">
              <w:rPr>
                <w:lang w:val="en-GB"/>
              </w:rPr>
              <w:t>The persistent gap between policy and practice (Earl</w:t>
            </w:r>
            <w:r w:rsidR="006335F0" w:rsidRPr="003E29C0">
              <w:rPr>
                <w:lang w:val="en-GB"/>
              </w:rPr>
              <w:t xml:space="preserve"> </w:t>
            </w:r>
            <w:r w:rsidR="006335F0" w:rsidRPr="003E29C0">
              <w:rPr>
                <w:szCs w:val="18"/>
                <w:lang w:val="en-GB"/>
              </w:rPr>
              <w:t>&amp;</w:t>
            </w:r>
            <w:r w:rsidRPr="003E29C0">
              <w:rPr>
                <w:lang w:val="en-GB"/>
              </w:rPr>
              <w:t xml:space="preserve"> Taylor, 2015)</w:t>
            </w:r>
          </w:p>
        </w:tc>
      </w:tr>
      <w:tr w:rsidR="0011774D" w:rsidRPr="003E29C0" w14:paraId="1F0CC366" w14:textId="77777777" w:rsidTr="0020542A">
        <w:trPr>
          <w:trHeight w:val="137"/>
        </w:trPr>
        <w:tc>
          <w:tcPr>
            <w:tcW w:w="0" w:type="auto"/>
            <w:vMerge/>
          </w:tcPr>
          <w:p w14:paraId="30996FCE" w14:textId="77777777" w:rsidR="0011774D" w:rsidRPr="003E29C0" w:rsidRDefault="0011774D" w:rsidP="003E29C0">
            <w:pPr>
              <w:pStyle w:val="HED-tablebody"/>
              <w:jc w:val="left"/>
              <w:rPr>
                <w:b/>
                <w:lang w:val="en-GB"/>
              </w:rPr>
            </w:pPr>
          </w:p>
        </w:tc>
        <w:tc>
          <w:tcPr>
            <w:tcW w:w="0" w:type="auto"/>
            <w:vAlign w:val="center"/>
          </w:tcPr>
          <w:p w14:paraId="0962F546" w14:textId="7D2E51DE" w:rsidR="0011774D" w:rsidRPr="003E29C0" w:rsidRDefault="0011774D" w:rsidP="003E29C0">
            <w:pPr>
              <w:pStyle w:val="HED-tablebody"/>
              <w:jc w:val="left"/>
              <w:rPr>
                <w:lang w:val="en-GB"/>
              </w:rPr>
            </w:pPr>
            <w:r w:rsidRPr="003E29C0">
              <w:rPr>
                <w:lang w:val="en-GB"/>
              </w:rPr>
              <w:t>The possibility of solving the problem with less</w:t>
            </w:r>
            <w:r w:rsidR="001418AA" w:rsidRPr="003E29C0">
              <w:rPr>
                <w:lang w:val="en-GB"/>
              </w:rPr>
              <w:t>-</w:t>
            </w:r>
            <w:r w:rsidRPr="003E29C0">
              <w:rPr>
                <w:lang w:val="en-GB"/>
              </w:rPr>
              <w:t>educated immigrants (</w:t>
            </w:r>
            <w:proofErr w:type="spellStart"/>
            <w:r w:rsidRPr="003E29C0">
              <w:rPr>
                <w:lang w:val="en-GB"/>
              </w:rPr>
              <w:t>Aliaj</w:t>
            </w:r>
            <w:proofErr w:type="spellEnd"/>
            <w:r w:rsidRPr="003E29C0">
              <w:rPr>
                <w:lang w:val="en-GB"/>
              </w:rPr>
              <w:t xml:space="preserve"> et al., 2016)</w:t>
            </w:r>
          </w:p>
        </w:tc>
        <w:tc>
          <w:tcPr>
            <w:tcW w:w="0" w:type="auto"/>
            <w:vAlign w:val="center"/>
          </w:tcPr>
          <w:p w14:paraId="34684430" w14:textId="77777777" w:rsidR="0011774D" w:rsidRPr="003E29C0" w:rsidRDefault="0011774D" w:rsidP="003E29C0">
            <w:pPr>
              <w:pStyle w:val="HED-tablebody"/>
              <w:jc w:val="left"/>
              <w:rPr>
                <w:lang w:val="en-GB"/>
              </w:rPr>
            </w:pPr>
          </w:p>
        </w:tc>
      </w:tr>
      <w:tr w:rsidR="0011774D" w:rsidRPr="003E29C0" w14:paraId="3BA04DF5" w14:textId="77777777" w:rsidTr="0020542A">
        <w:trPr>
          <w:trHeight w:val="137"/>
        </w:trPr>
        <w:tc>
          <w:tcPr>
            <w:tcW w:w="0" w:type="auto"/>
            <w:vMerge/>
          </w:tcPr>
          <w:p w14:paraId="47B0F15A" w14:textId="77777777" w:rsidR="0011774D" w:rsidRPr="003E29C0" w:rsidRDefault="0011774D" w:rsidP="003E29C0">
            <w:pPr>
              <w:pStyle w:val="HED-tablebody"/>
              <w:jc w:val="left"/>
              <w:rPr>
                <w:b/>
                <w:lang w:val="en-GB"/>
              </w:rPr>
            </w:pPr>
          </w:p>
        </w:tc>
        <w:tc>
          <w:tcPr>
            <w:tcW w:w="0" w:type="auto"/>
            <w:vAlign w:val="center"/>
          </w:tcPr>
          <w:p w14:paraId="6A27E69B" w14:textId="77777777" w:rsidR="0011774D" w:rsidRPr="003E29C0" w:rsidRDefault="0011774D" w:rsidP="003E29C0">
            <w:pPr>
              <w:pStyle w:val="HED-tablebody"/>
              <w:jc w:val="left"/>
              <w:rPr>
                <w:lang w:val="en-GB"/>
              </w:rPr>
            </w:pPr>
            <w:r w:rsidRPr="003E29C0">
              <w:rPr>
                <w:lang w:val="en-GB"/>
              </w:rPr>
              <w:t>Improving the funding of pension system (</w:t>
            </w:r>
            <w:proofErr w:type="spellStart"/>
            <w:r w:rsidRPr="003E29C0">
              <w:rPr>
                <w:lang w:val="en-GB"/>
              </w:rPr>
              <w:t>Aliaj</w:t>
            </w:r>
            <w:proofErr w:type="spellEnd"/>
            <w:r w:rsidRPr="003E29C0">
              <w:rPr>
                <w:lang w:val="en-GB"/>
              </w:rPr>
              <w:t xml:space="preserve"> et al., 2016)</w:t>
            </w:r>
          </w:p>
        </w:tc>
        <w:tc>
          <w:tcPr>
            <w:tcW w:w="0" w:type="auto"/>
            <w:vAlign w:val="center"/>
          </w:tcPr>
          <w:p w14:paraId="17C6AB24" w14:textId="77777777" w:rsidR="0011774D" w:rsidRPr="003E29C0" w:rsidRDefault="0011774D" w:rsidP="003E29C0">
            <w:pPr>
              <w:pStyle w:val="HED-tablebody"/>
              <w:jc w:val="left"/>
              <w:rPr>
                <w:lang w:val="en-GB"/>
              </w:rPr>
            </w:pPr>
            <w:r w:rsidRPr="003E29C0">
              <w:rPr>
                <w:lang w:val="en-GB"/>
              </w:rPr>
              <w:t>The need for coordination within the framework of national employment policy</w:t>
            </w:r>
          </w:p>
        </w:tc>
      </w:tr>
      <w:tr w:rsidR="0011774D" w:rsidRPr="003E29C0" w14:paraId="0B175709" w14:textId="77777777" w:rsidTr="0020542A">
        <w:trPr>
          <w:trHeight w:val="137"/>
        </w:trPr>
        <w:tc>
          <w:tcPr>
            <w:tcW w:w="0" w:type="auto"/>
            <w:vMerge/>
          </w:tcPr>
          <w:p w14:paraId="0FDB8D98" w14:textId="77777777" w:rsidR="0011774D" w:rsidRPr="003E29C0" w:rsidRDefault="0011774D" w:rsidP="003E29C0">
            <w:pPr>
              <w:pStyle w:val="HED-tablebody"/>
              <w:jc w:val="left"/>
              <w:rPr>
                <w:b/>
                <w:lang w:val="en-GB"/>
              </w:rPr>
            </w:pPr>
          </w:p>
        </w:tc>
        <w:tc>
          <w:tcPr>
            <w:tcW w:w="0" w:type="auto"/>
            <w:vAlign w:val="center"/>
          </w:tcPr>
          <w:p w14:paraId="74D3AEAC" w14:textId="77777777" w:rsidR="0011774D" w:rsidRPr="003E29C0" w:rsidRDefault="0011774D" w:rsidP="003E29C0">
            <w:pPr>
              <w:pStyle w:val="HED-tablebody"/>
              <w:jc w:val="left"/>
              <w:rPr>
                <w:lang w:val="en-GB"/>
              </w:rPr>
            </w:pPr>
            <w:r w:rsidRPr="003E29C0">
              <w:rPr>
                <w:lang w:val="en-GB"/>
              </w:rPr>
              <w:t>Removing obstacles to extending working life (</w:t>
            </w:r>
            <w:proofErr w:type="spellStart"/>
            <w:r w:rsidRPr="003E29C0">
              <w:rPr>
                <w:lang w:val="en-GB"/>
              </w:rPr>
              <w:t>Egdell</w:t>
            </w:r>
            <w:proofErr w:type="spellEnd"/>
            <w:r w:rsidRPr="003E29C0">
              <w:rPr>
                <w:lang w:val="en-GB"/>
              </w:rPr>
              <w:t xml:space="preserve"> et al., 2020)</w:t>
            </w:r>
          </w:p>
        </w:tc>
        <w:tc>
          <w:tcPr>
            <w:tcW w:w="0" w:type="auto"/>
            <w:vAlign w:val="center"/>
          </w:tcPr>
          <w:p w14:paraId="77E0EDFF" w14:textId="77777777" w:rsidR="0011774D" w:rsidRPr="003E29C0" w:rsidRDefault="0011774D" w:rsidP="003E29C0">
            <w:pPr>
              <w:pStyle w:val="HED-tablebody"/>
              <w:jc w:val="left"/>
              <w:rPr>
                <w:lang w:val="en-GB"/>
              </w:rPr>
            </w:pPr>
          </w:p>
        </w:tc>
      </w:tr>
    </w:tbl>
    <w:p w14:paraId="0F2E001F" w14:textId="77777777" w:rsidR="00DD2871" w:rsidRDefault="00DD2871" w:rsidP="00DD2871">
      <w:pPr>
        <w:pStyle w:val="HED-tablecaption"/>
        <w:rPr>
          <w:b/>
          <w:bCs/>
          <w:lang w:val="en-GB"/>
        </w:rPr>
      </w:pPr>
    </w:p>
    <w:p w14:paraId="664AA952" w14:textId="77777777" w:rsidR="00DD2871" w:rsidRDefault="00DD2871" w:rsidP="00DD2871">
      <w:pPr>
        <w:pStyle w:val="HED-tablecaption"/>
        <w:rPr>
          <w:b/>
          <w:bCs/>
          <w:lang w:val="en-GB"/>
        </w:rPr>
      </w:pPr>
    </w:p>
    <w:tbl>
      <w:tblPr>
        <w:tblStyle w:val="Mkatabulky"/>
        <w:tblW w:w="8976" w:type="dxa"/>
        <w:tblLook w:val="04A0" w:firstRow="1" w:lastRow="0" w:firstColumn="1" w:lastColumn="0" w:noHBand="0" w:noVBand="1"/>
      </w:tblPr>
      <w:tblGrid>
        <w:gridCol w:w="1274"/>
        <w:gridCol w:w="3914"/>
        <w:gridCol w:w="3788"/>
      </w:tblGrid>
      <w:tr w:rsidR="00DD2871" w:rsidRPr="003E29C0" w14:paraId="5E45EE07" w14:textId="77777777" w:rsidTr="007A5EE4">
        <w:trPr>
          <w:trHeight w:val="400"/>
        </w:trPr>
        <w:tc>
          <w:tcPr>
            <w:tcW w:w="0" w:type="auto"/>
            <w:vMerge w:val="restart"/>
            <w:vAlign w:val="center"/>
          </w:tcPr>
          <w:p w14:paraId="7C98BDD9" w14:textId="77777777" w:rsidR="00DD2871" w:rsidRPr="003E29C0" w:rsidRDefault="00DD2871" w:rsidP="007A5EE4">
            <w:pPr>
              <w:pStyle w:val="HED-tablebody"/>
              <w:jc w:val="left"/>
              <w:rPr>
                <w:b/>
                <w:lang w:val="en-GB"/>
              </w:rPr>
            </w:pPr>
            <w:r w:rsidRPr="003E29C0">
              <w:rPr>
                <w:b/>
                <w:lang w:val="en-GB"/>
              </w:rPr>
              <w:lastRenderedPageBreak/>
              <w:t>Individual aspect</w:t>
            </w:r>
          </w:p>
        </w:tc>
        <w:tc>
          <w:tcPr>
            <w:tcW w:w="0" w:type="auto"/>
            <w:vAlign w:val="center"/>
          </w:tcPr>
          <w:p w14:paraId="0AB8172F" w14:textId="77777777" w:rsidR="00DD2871" w:rsidRPr="003E29C0" w:rsidRDefault="00DD2871" w:rsidP="007A5EE4">
            <w:pPr>
              <w:pStyle w:val="HED-tablebody"/>
              <w:jc w:val="left"/>
              <w:rPr>
                <w:lang w:val="en-GB"/>
              </w:rPr>
            </w:pPr>
            <w:r w:rsidRPr="003E29C0">
              <w:rPr>
                <w:lang w:val="en-GB"/>
              </w:rPr>
              <w:t>Improving employee motivation (</w:t>
            </w:r>
            <w:proofErr w:type="spellStart"/>
            <w:r w:rsidRPr="003E29C0">
              <w:rPr>
                <w:lang w:val="en-GB"/>
              </w:rPr>
              <w:t>Feißel</w:t>
            </w:r>
            <w:proofErr w:type="spellEnd"/>
            <w:r w:rsidRPr="003E29C0">
              <w:rPr>
                <w:lang w:val="en-GB"/>
              </w:rPr>
              <w:t xml:space="preserve"> et al., 2018)</w:t>
            </w:r>
          </w:p>
        </w:tc>
        <w:tc>
          <w:tcPr>
            <w:tcW w:w="0" w:type="auto"/>
            <w:vAlign w:val="center"/>
          </w:tcPr>
          <w:p w14:paraId="535E2889" w14:textId="77777777" w:rsidR="00DD2871" w:rsidRPr="003E29C0" w:rsidRDefault="00DD2871" w:rsidP="007A5EE4">
            <w:pPr>
              <w:pStyle w:val="HED-tablebody"/>
              <w:jc w:val="left"/>
              <w:rPr>
                <w:lang w:val="en-GB"/>
              </w:rPr>
            </w:pPr>
            <w:r w:rsidRPr="003E29C0">
              <w:rPr>
                <w:lang w:val="en-GB"/>
              </w:rPr>
              <w:t>The need to improve communication and social interaction</w:t>
            </w:r>
          </w:p>
        </w:tc>
      </w:tr>
      <w:tr w:rsidR="00DD2871" w:rsidRPr="003E29C0" w14:paraId="60F76DD4" w14:textId="77777777" w:rsidTr="007A5EE4">
        <w:trPr>
          <w:trHeight w:val="534"/>
        </w:trPr>
        <w:tc>
          <w:tcPr>
            <w:tcW w:w="0" w:type="auto"/>
            <w:vMerge/>
          </w:tcPr>
          <w:p w14:paraId="3BC96FB7" w14:textId="77777777" w:rsidR="00DD2871" w:rsidRPr="003E29C0" w:rsidRDefault="00DD2871" w:rsidP="007A5EE4">
            <w:pPr>
              <w:pStyle w:val="HED-tablebody"/>
              <w:jc w:val="left"/>
              <w:rPr>
                <w:lang w:val="en-GB"/>
              </w:rPr>
            </w:pPr>
          </w:p>
        </w:tc>
        <w:tc>
          <w:tcPr>
            <w:tcW w:w="0" w:type="auto"/>
            <w:vAlign w:val="center"/>
          </w:tcPr>
          <w:p w14:paraId="39CF8BE8" w14:textId="77777777" w:rsidR="00DD2871" w:rsidRPr="003E29C0" w:rsidRDefault="00DD2871" w:rsidP="007A5EE4">
            <w:pPr>
              <w:pStyle w:val="HED-tablebody"/>
              <w:jc w:val="left"/>
              <w:rPr>
                <w:lang w:val="en-GB"/>
              </w:rPr>
            </w:pPr>
            <w:r w:rsidRPr="003E29C0">
              <w:rPr>
                <w:lang w:val="en-GB"/>
              </w:rPr>
              <w:t>The emphasis on employee health and safety, and stress prevention (</w:t>
            </w:r>
            <w:proofErr w:type="spellStart"/>
            <w:r w:rsidRPr="003E29C0">
              <w:rPr>
                <w:lang w:val="en-GB"/>
              </w:rPr>
              <w:t>Feißel</w:t>
            </w:r>
            <w:proofErr w:type="spellEnd"/>
            <w:r w:rsidRPr="003E29C0">
              <w:rPr>
                <w:lang w:val="en-GB"/>
              </w:rPr>
              <w:t xml:space="preserve"> et al., 2018)</w:t>
            </w:r>
          </w:p>
        </w:tc>
        <w:tc>
          <w:tcPr>
            <w:tcW w:w="0" w:type="auto"/>
            <w:vAlign w:val="center"/>
          </w:tcPr>
          <w:p w14:paraId="6A37279C" w14:textId="77777777" w:rsidR="00DD2871" w:rsidRPr="003E29C0" w:rsidRDefault="00DD2871" w:rsidP="007A5EE4">
            <w:pPr>
              <w:pStyle w:val="HED-tablebody"/>
              <w:jc w:val="left"/>
              <w:rPr>
                <w:lang w:val="en-GB"/>
              </w:rPr>
            </w:pPr>
            <w:r w:rsidRPr="003E29C0">
              <w:rPr>
                <w:lang w:val="en-GB"/>
              </w:rPr>
              <w:t>Increased demands on knowledge transfer</w:t>
            </w:r>
          </w:p>
        </w:tc>
      </w:tr>
      <w:tr w:rsidR="00DD2871" w:rsidRPr="003E29C0" w14:paraId="6DC3459A" w14:textId="77777777" w:rsidTr="007A5EE4">
        <w:trPr>
          <w:trHeight w:val="271"/>
        </w:trPr>
        <w:tc>
          <w:tcPr>
            <w:tcW w:w="0" w:type="auto"/>
            <w:vMerge/>
          </w:tcPr>
          <w:p w14:paraId="0F3D35E9" w14:textId="77777777" w:rsidR="00DD2871" w:rsidRPr="003E29C0" w:rsidRDefault="00DD2871" w:rsidP="007A5EE4">
            <w:pPr>
              <w:pStyle w:val="HED-tablebody"/>
              <w:jc w:val="left"/>
              <w:rPr>
                <w:lang w:val="en-GB"/>
              </w:rPr>
            </w:pPr>
          </w:p>
        </w:tc>
        <w:tc>
          <w:tcPr>
            <w:tcW w:w="0" w:type="auto"/>
            <w:vAlign w:val="center"/>
          </w:tcPr>
          <w:p w14:paraId="3A49E198" w14:textId="77777777" w:rsidR="00DD2871" w:rsidRPr="003E29C0" w:rsidRDefault="00DD2871" w:rsidP="007A5EE4">
            <w:pPr>
              <w:pStyle w:val="HED-tablebody"/>
              <w:jc w:val="left"/>
              <w:rPr>
                <w:lang w:val="en-GB"/>
              </w:rPr>
            </w:pPr>
            <w:r w:rsidRPr="003E29C0">
              <w:rPr>
                <w:lang w:val="en-GB"/>
              </w:rPr>
              <w:t>Integration in the team (</w:t>
            </w:r>
            <w:proofErr w:type="spellStart"/>
            <w:r w:rsidRPr="003E29C0">
              <w:rPr>
                <w:lang w:val="en-GB"/>
              </w:rPr>
              <w:t>Feißel</w:t>
            </w:r>
            <w:proofErr w:type="spellEnd"/>
            <w:r w:rsidRPr="003E29C0">
              <w:rPr>
                <w:lang w:val="en-GB"/>
              </w:rPr>
              <w:t xml:space="preserve"> et al., 2018)</w:t>
            </w:r>
          </w:p>
        </w:tc>
        <w:tc>
          <w:tcPr>
            <w:tcW w:w="0" w:type="auto"/>
            <w:vAlign w:val="center"/>
          </w:tcPr>
          <w:p w14:paraId="3F6055AB" w14:textId="77777777" w:rsidR="00DD2871" w:rsidRPr="003E29C0" w:rsidRDefault="00DD2871" w:rsidP="007A5EE4">
            <w:pPr>
              <w:pStyle w:val="HED-tablebody"/>
              <w:jc w:val="left"/>
              <w:rPr>
                <w:lang w:val="en-GB"/>
              </w:rPr>
            </w:pPr>
            <w:r w:rsidRPr="003E29C0">
              <w:rPr>
                <w:lang w:val="en-GB"/>
              </w:rPr>
              <w:t xml:space="preserve">Stereotyping </w:t>
            </w:r>
            <w:proofErr w:type="spellStart"/>
            <w:r w:rsidRPr="003E29C0">
              <w:rPr>
                <w:lang w:val="en-GB"/>
              </w:rPr>
              <w:t>behavior</w:t>
            </w:r>
            <w:proofErr w:type="spellEnd"/>
            <w:r w:rsidRPr="003E29C0">
              <w:rPr>
                <w:lang w:val="en-GB"/>
              </w:rPr>
              <w:t xml:space="preserve"> and barriers (Fuertes et al., 2013; </w:t>
            </w:r>
            <w:proofErr w:type="spellStart"/>
            <w:r w:rsidRPr="003E29C0">
              <w:rPr>
                <w:lang w:val="en-GB"/>
              </w:rPr>
              <w:t>Dordoni</w:t>
            </w:r>
            <w:proofErr w:type="spellEnd"/>
            <w:r w:rsidRPr="003E29C0">
              <w:rPr>
                <w:lang w:val="en-GB"/>
              </w:rPr>
              <w:t xml:space="preserve"> </w:t>
            </w:r>
            <w:r w:rsidRPr="003E29C0">
              <w:rPr>
                <w:szCs w:val="18"/>
                <w:lang w:val="en-GB"/>
              </w:rPr>
              <w:t>&amp;</w:t>
            </w:r>
            <w:r w:rsidRPr="003E29C0">
              <w:rPr>
                <w:lang w:val="en-GB"/>
              </w:rPr>
              <w:t xml:space="preserve"> </w:t>
            </w:r>
            <w:proofErr w:type="spellStart"/>
            <w:r w:rsidRPr="003E29C0">
              <w:rPr>
                <w:lang w:val="en-GB"/>
              </w:rPr>
              <w:t>Argentero</w:t>
            </w:r>
            <w:proofErr w:type="spellEnd"/>
            <w:r w:rsidRPr="003E29C0">
              <w:rPr>
                <w:lang w:val="en-GB"/>
              </w:rPr>
              <w:t xml:space="preserve">, 2015; </w:t>
            </w:r>
            <w:proofErr w:type="spellStart"/>
            <w:r w:rsidRPr="003E29C0">
              <w:rPr>
                <w:lang w:val="en-GB"/>
              </w:rPr>
              <w:t>Garavaglia</w:t>
            </w:r>
            <w:proofErr w:type="spellEnd"/>
            <w:r w:rsidRPr="003E29C0">
              <w:rPr>
                <w:lang w:val="en-GB"/>
              </w:rPr>
              <w:t xml:space="preserve"> et al., 2021)</w:t>
            </w:r>
          </w:p>
        </w:tc>
      </w:tr>
      <w:tr w:rsidR="00DD2871" w:rsidRPr="003E29C0" w14:paraId="4D641121" w14:textId="77777777" w:rsidTr="007A5EE4">
        <w:trPr>
          <w:trHeight w:val="400"/>
        </w:trPr>
        <w:tc>
          <w:tcPr>
            <w:tcW w:w="0" w:type="auto"/>
            <w:vMerge/>
          </w:tcPr>
          <w:p w14:paraId="775225E5" w14:textId="77777777" w:rsidR="00DD2871" w:rsidRPr="003E29C0" w:rsidRDefault="00DD2871" w:rsidP="007A5EE4">
            <w:pPr>
              <w:pStyle w:val="HED-tablebody"/>
              <w:jc w:val="left"/>
              <w:rPr>
                <w:lang w:val="en-GB"/>
              </w:rPr>
            </w:pPr>
          </w:p>
        </w:tc>
        <w:tc>
          <w:tcPr>
            <w:tcW w:w="0" w:type="auto"/>
            <w:vAlign w:val="center"/>
          </w:tcPr>
          <w:p w14:paraId="2584B343" w14:textId="77777777" w:rsidR="00DD2871" w:rsidRPr="003E29C0" w:rsidRDefault="00DD2871" w:rsidP="007A5EE4">
            <w:pPr>
              <w:pStyle w:val="HED-tablebody"/>
              <w:jc w:val="left"/>
              <w:rPr>
                <w:lang w:val="en-GB"/>
              </w:rPr>
            </w:pPr>
            <w:r w:rsidRPr="003E29C0">
              <w:rPr>
                <w:lang w:val="en-GB"/>
              </w:rPr>
              <w:t>The employee´s perception of job stability, loyalty, and staying engaged (</w:t>
            </w:r>
            <w:proofErr w:type="spellStart"/>
            <w:r w:rsidRPr="003E29C0">
              <w:rPr>
                <w:lang w:val="en-GB"/>
              </w:rPr>
              <w:t>Joniaková</w:t>
            </w:r>
            <w:proofErr w:type="spellEnd"/>
            <w:r w:rsidRPr="003E29C0">
              <w:rPr>
                <w:lang w:val="en-GB"/>
              </w:rPr>
              <w:t xml:space="preserve"> </w:t>
            </w:r>
            <w:r w:rsidRPr="003E29C0">
              <w:rPr>
                <w:szCs w:val="18"/>
                <w:lang w:val="en-GB"/>
              </w:rPr>
              <w:t>&amp;</w:t>
            </w:r>
            <w:r w:rsidRPr="003E29C0">
              <w:rPr>
                <w:lang w:val="en-GB"/>
              </w:rPr>
              <w:t xml:space="preserve"> </w:t>
            </w:r>
            <w:proofErr w:type="spellStart"/>
            <w:r w:rsidRPr="003E29C0">
              <w:rPr>
                <w:lang w:val="en-GB"/>
              </w:rPr>
              <w:t>Blštáková</w:t>
            </w:r>
            <w:proofErr w:type="spellEnd"/>
            <w:r w:rsidRPr="003E29C0">
              <w:rPr>
                <w:lang w:val="en-GB"/>
              </w:rPr>
              <w:t xml:space="preserve">, 2015; </w:t>
            </w:r>
            <w:proofErr w:type="spellStart"/>
            <w:r w:rsidRPr="003E29C0">
              <w:rPr>
                <w:lang w:val="en-GB"/>
              </w:rPr>
              <w:t>Blomé</w:t>
            </w:r>
            <w:proofErr w:type="spellEnd"/>
            <w:r w:rsidRPr="003E29C0">
              <w:rPr>
                <w:lang w:val="en-GB"/>
              </w:rPr>
              <w:t xml:space="preserve"> et al., 2018)</w:t>
            </w:r>
          </w:p>
        </w:tc>
        <w:tc>
          <w:tcPr>
            <w:tcW w:w="0" w:type="auto"/>
            <w:vAlign w:val="center"/>
          </w:tcPr>
          <w:p w14:paraId="6EDDC88F" w14:textId="77777777" w:rsidR="00DD2871" w:rsidRPr="003E29C0" w:rsidRDefault="00DD2871" w:rsidP="007A5EE4">
            <w:pPr>
              <w:pStyle w:val="HED-tablebody"/>
              <w:jc w:val="left"/>
              <w:rPr>
                <w:lang w:val="en-GB"/>
              </w:rPr>
            </w:pPr>
            <w:r w:rsidRPr="003E29C0">
              <w:rPr>
                <w:lang w:val="en-GB"/>
              </w:rPr>
              <w:t>Increased demands on individual approach to employees</w:t>
            </w:r>
          </w:p>
        </w:tc>
      </w:tr>
    </w:tbl>
    <w:p w14:paraId="0027C22C" w14:textId="77777777" w:rsidR="00DD2871" w:rsidRPr="003E29C0" w:rsidRDefault="00DD2871" w:rsidP="009F7957">
      <w:pPr>
        <w:pStyle w:val="HED-text"/>
        <w:rPr>
          <w:lang w:val="en-GB"/>
        </w:rPr>
      </w:pPr>
    </w:p>
    <w:p w14:paraId="72A8DF40" w14:textId="533A72BA" w:rsidR="0011774D" w:rsidRPr="003E29C0" w:rsidRDefault="0011774D" w:rsidP="0011774D">
      <w:pPr>
        <w:pStyle w:val="HED-text"/>
        <w:rPr>
          <w:lang w:val="en-GB"/>
        </w:rPr>
      </w:pPr>
      <w:r w:rsidRPr="003E29C0">
        <w:rPr>
          <w:lang w:val="en-GB"/>
        </w:rPr>
        <w:t>There are increased financial costs associated with the implementation of age management in connection with new job opportunities (</w:t>
      </w:r>
      <w:proofErr w:type="spellStart"/>
      <w:r w:rsidRPr="003E29C0">
        <w:rPr>
          <w:lang w:val="en-GB"/>
        </w:rPr>
        <w:t>Conen</w:t>
      </w:r>
      <w:proofErr w:type="spellEnd"/>
      <w:r w:rsidRPr="003E29C0">
        <w:rPr>
          <w:lang w:val="en-GB"/>
        </w:rPr>
        <w:t xml:space="preserve"> et al., 2011; Fuertes et al., 2013). In this context, Ciutiene</w:t>
      </w:r>
      <w:r w:rsidR="00F9100A" w:rsidRPr="003E29C0">
        <w:rPr>
          <w:lang w:val="en-GB"/>
        </w:rPr>
        <w:t xml:space="preserve"> </w:t>
      </w:r>
      <w:r w:rsidR="00F9100A" w:rsidRPr="003E29C0">
        <w:rPr>
          <w:szCs w:val="18"/>
        </w:rPr>
        <w:t>&amp;</w:t>
      </w:r>
      <w:r w:rsidRPr="003E29C0">
        <w:rPr>
          <w:lang w:val="en-GB"/>
        </w:rPr>
        <w:t xml:space="preserve"> Railaite (2015) highlight recruitment, learning and knowledge management, changing attitudes, flexible working arrangements, health management, work environment</w:t>
      </w:r>
      <w:r w:rsidR="001418AA" w:rsidRPr="003E29C0">
        <w:rPr>
          <w:lang w:val="en-GB"/>
        </w:rPr>
        <w:t>,</w:t>
      </w:r>
      <w:r w:rsidRPr="003E29C0">
        <w:rPr>
          <w:lang w:val="en-GB"/>
        </w:rPr>
        <w:t xml:space="preserve"> and ergonomics. The increasing interaction of different generations implies the need to set up educational processes in the organization that will encourage the sharing of knowledge and experience between generations of employees (</w:t>
      </w:r>
      <w:proofErr w:type="spellStart"/>
      <w:r w:rsidRPr="003E29C0">
        <w:rPr>
          <w:lang w:val="en-GB"/>
        </w:rPr>
        <w:t>Bolisani</w:t>
      </w:r>
      <w:proofErr w:type="spellEnd"/>
      <w:r w:rsidR="00F9100A" w:rsidRPr="003E29C0">
        <w:rPr>
          <w:lang w:val="en-GB"/>
        </w:rPr>
        <w:t xml:space="preserve"> </w:t>
      </w:r>
      <w:r w:rsidR="00F9100A" w:rsidRPr="003E29C0">
        <w:rPr>
          <w:szCs w:val="18"/>
        </w:rPr>
        <w:t>&amp;</w:t>
      </w:r>
      <w:r w:rsidRPr="003E29C0">
        <w:rPr>
          <w:lang w:val="en-GB"/>
        </w:rPr>
        <w:t xml:space="preserve"> </w:t>
      </w:r>
      <w:proofErr w:type="spellStart"/>
      <w:r w:rsidRPr="003E29C0">
        <w:rPr>
          <w:lang w:val="en-GB"/>
        </w:rPr>
        <w:t>Bratianu</w:t>
      </w:r>
      <w:proofErr w:type="spellEnd"/>
      <w:r w:rsidRPr="003E29C0">
        <w:rPr>
          <w:lang w:val="en-GB"/>
        </w:rPr>
        <w:t>, 2017; Aydin</w:t>
      </w:r>
      <w:r w:rsidR="00F9100A" w:rsidRPr="003E29C0">
        <w:rPr>
          <w:lang w:val="en-GB"/>
        </w:rPr>
        <w:t xml:space="preserve"> </w:t>
      </w:r>
      <w:r w:rsidR="00F9100A" w:rsidRPr="003E29C0">
        <w:rPr>
          <w:szCs w:val="18"/>
        </w:rPr>
        <w:t>&amp;</w:t>
      </w:r>
      <w:r w:rsidRPr="003E29C0">
        <w:rPr>
          <w:lang w:val="en-GB"/>
        </w:rPr>
        <w:t xml:space="preserve"> Dube, 2018). By encouraging continuous learning and knowledge sharing across generations, the corporate social responsibility of organizations can be developed. Understanding generational diversity is the best way to overcome negative prejudices against older people.</w:t>
      </w:r>
    </w:p>
    <w:p w14:paraId="53898566" w14:textId="432070ED" w:rsidR="0011774D" w:rsidRPr="003E29C0" w:rsidRDefault="0011774D" w:rsidP="0011774D">
      <w:pPr>
        <w:pStyle w:val="HED-text"/>
        <w:rPr>
          <w:lang w:val="en-GB"/>
        </w:rPr>
      </w:pPr>
      <w:r w:rsidRPr="003E29C0">
        <w:rPr>
          <w:lang w:val="en-GB"/>
        </w:rPr>
        <w:t>The COVID-19 pandemic is a “career shock</w:t>
      </w:r>
      <w:r w:rsidR="001418AA" w:rsidRPr="003E29C0">
        <w:rPr>
          <w:lang w:val="en-GB"/>
        </w:rPr>
        <w:t>”</w:t>
      </w:r>
      <w:r w:rsidRPr="003E29C0">
        <w:rPr>
          <w:lang w:val="en-GB"/>
        </w:rPr>
        <w:t xml:space="preserve"> as </w:t>
      </w:r>
      <w:proofErr w:type="spellStart"/>
      <w:r w:rsidRPr="003E29C0">
        <w:rPr>
          <w:lang w:val="en-GB"/>
        </w:rPr>
        <w:t>Akkermans</w:t>
      </w:r>
      <w:proofErr w:type="spellEnd"/>
      <w:r w:rsidRPr="003E29C0">
        <w:rPr>
          <w:lang w:val="en-GB"/>
        </w:rPr>
        <w:t xml:space="preserve"> et al. (2020) put it. In</w:t>
      </w:r>
      <w:r w:rsidR="0020542A" w:rsidRPr="003E29C0">
        <w:rPr>
          <w:lang w:val="en-GB"/>
        </w:rPr>
        <w:t> </w:t>
      </w:r>
      <w:r w:rsidRPr="003E29C0">
        <w:rPr>
          <w:lang w:val="en-GB"/>
        </w:rPr>
        <w:t>addition to certain negative consequences not only for older workers (</w:t>
      </w:r>
      <w:proofErr w:type="spellStart"/>
      <w:r w:rsidRPr="003E29C0">
        <w:rPr>
          <w:lang w:val="en-GB"/>
        </w:rPr>
        <w:t>Kooij</w:t>
      </w:r>
      <w:proofErr w:type="spellEnd"/>
      <w:r w:rsidRPr="003E29C0">
        <w:rPr>
          <w:lang w:val="en-GB"/>
        </w:rPr>
        <w:t>, 2020), the pandemic of COVID-19 also poses a challenge (</w:t>
      </w:r>
      <w:proofErr w:type="spellStart"/>
      <w:r w:rsidRPr="003E29C0">
        <w:rPr>
          <w:lang w:val="en-GB"/>
        </w:rPr>
        <w:t>Akkermans</w:t>
      </w:r>
      <w:proofErr w:type="spellEnd"/>
      <w:r w:rsidRPr="003E29C0">
        <w:rPr>
          <w:lang w:val="en-GB"/>
        </w:rPr>
        <w:t xml:space="preserve"> et al., 2020) for the management of organizations to make an intelligent and confident commitment to start placing more emphasis on social responsibility and building the prestige of an employer that is not indifferent to the employee health, safety or belonging together. However, it also depends on</w:t>
      </w:r>
      <w:r w:rsidR="0020542A" w:rsidRPr="003E29C0">
        <w:rPr>
          <w:lang w:val="en-GB"/>
        </w:rPr>
        <w:t> </w:t>
      </w:r>
      <w:r w:rsidRPr="003E29C0">
        <w:rPr>
          <w:lang w:val="en-GB"/>
        </w:rPr>
        <w:t xml:space="preserve">the role of the state to create the right conditions for people to be as employable as possible in the </w:t>
      </w:r>
      <w:proofErr w:type="spellStart"/>
      <w:r w:rsidRPr="003E29C0">
        <w:rPr>
          <w:lang w:val="en-GB"/>
        </w:rPr>
        <w:t>labor</w:t>
      </w:r>
      <w:proofErr w:type="spellEnd"/>
      <w:r w:rsidRPr="003E29C0">
        <w:rPr>
          <w:lang w:val="en-GB"/>
        </w:rPr>
        <w:t xml:space="preserve"> market, especially now in the time of COVID-19. In the long run, this pandemic can become a stimulus that can provide an opportunity for change and improvement in</w:t>
      </w:r>
      <w:r w:rsidR="0020542A" w:rsidRPr="003E29C0">
        <w:rPr>
          <w:lang w:val="en-GB"/>
        </w:rPr>
        <w:t> </w:t>
      </w:r>
      <w:r w:rsidRPr="003E29C0">
        <w:rPr>
          <w:lang w:val="en-GB"/>
        </w:rPr>
        <w:t>working with people.</w:t>
      </w:r>
    </w:p>
    <w:p w14:paraId="4839C455" w14:textId="3BD8BB76" w:rsidR="00101D43" w:rsidRPr="003E29C0" w:rsidRDefault="0011774D" w:rsidP="0011774D">
      <w:pPr>
        <w:pStyle w:val="HED-text"/>
        <w:rPr>
          <w:lang w:val="en-GB"/>
        </w:rPr>
      </w:pPr>
      <w:r w:rsidRPr="003E29C0">
        <w:rPr>
          <w:lang w:val="en-GB"/>
        </w:rPr>
        <w:t xml:space="preserve">The issues of applying age management in organizations and the effort to maximize the elimination of negative ageism are hot, </w:t>
      </w:r>
      <w:r w:rsidR="001418AA" w:rsidRPr="003E29C0">
        <w:rPr>
          <w:lang w:val="en-GB"/>
        </w:rPr>
        <w:t>engag</w:t>
      </w:r>
      <w:r w:rsidRPr="003E29C0">
        <w:rPr>
          <w:lang w:val="en-GB"/>
        </w:rPr>
        <w:t xml:space="preserve">ing, and </w:t>
      </w:r>
      <w:r w:rsidR="001418AA" w:rsidRPr="003E29C0">
        <w:rPr>
          <w:lang w:val="en-GB"/>
        </w:rPr>
        <w:t>essential</w:t>
      </w:r>
      <w:r w:rsidRPr="003E29C0">
        <w:rPr>
          <w:lang w:val="en-GB"/>
        </w:rPr>
        <w:t xml:space="preserve"> topics, unfortunately not only in the Czech Republic, which have been insufficiently discussed so far, as agreed, for example, by </w:t>
      </w:r>
      <w:proofErr w:type="spellStart"/>
      <w:r w:rsidRPr="003E29C0">
        <w:rPr>
          <w:lang w:val="en-GB"/>
        </w:rPr>
        <w:t>Bejtkovský</w:t>
      </w:r>
      <w:proofErr w:type="spellEnd"/>
      <w:r w:rsidRPr="003E29C0">
        <w:rPr>
          <w:lang w:val="en-GB"/>
        </w:rPr>
        <w:t xml:space="preserve"> (2015); </w:t>
      </w:r>
      <w:proofErr w:type="spellStart"/>
      <w:r w:rsidRPr="003E29C0">
        <w:rPr>
          <w:lang w:val="en-GB"/>
        </w:rPr>
        <w:t>Joniaková</w:t>
      </w:r>
      <w:proofErr w:type="spellEnd"/>
      <w:r w:rsidR="00F9100A" w:rsidRPr="003E29C0">
        <w:rPr>
          <w:lang w:val="en-GB"/>
        </w:rPr>
        <w:t xml:space="preserve"> </w:t>
      </w:r>
      <w:r w:rsidR="00F9100A" w:rsidRPr="003E29C0">
        <w:rPr>
          <w:szCs w:val="18"/>
        </w:rPr>
        <w:t>&amp;</w:t>
      </w:r>
      <w:r w:rsidRPr="003E29C0">
        <w:rPr>
          <w:lang w:val="en-GB"/>
        </w:rPr>
        <w:t xml:space="preserve"> </w:t>
      </w:r>
      <w:proofErr w:type="spellStart"/>
      <w:r w:rsidRPr="003E29C0">
        <w:rPr>
          <w:lang w:val="en-GB"/>
        </w:rPr>
        <w:t>Blštáková</w:t>
      </w:r>
      <w:proofErr w:type="spellEnd"/>
      <w:r w:rsidRPr="003E29C0">
        <w:rPr>
          <w:lang w:val="en-GB"/>
        </w:rPr>
        <w:t xml:space="preserve">, (2015); </w:t>
      </w:r>
      <w:proofErr w:type="spellStart"/>
      <w:r w:rsidRPr="003E29C0">
        <w:rPr>
          <w:lang w:val="en-GB"/>
        </w:rPr>
        <w:t>Feißel</w:t>
      </w:r>
      <w:proofErr w:type="spellEnd"/>
      <w:r w:rsidRPr="003E29C0">
        <w:rPr>
          <w:lang w:val="en-GB"/>
        </w:rPr>
        <w:t xml:space="preserve"> et al. (2018); </w:t>
      </w:r>
      <w:proofErr w:type="spellStart"/>
      <w:r w:rsidRPr="003E29C0">
        <w:rPr>
          <w:lang w:val="en-GB"/>
        </w:rPr>
        <w:t>Urbancová</w:t>
      </w:r>
      <w:proofErr w:type="spellEnd"/>
      <w:r w:rsidR="00F9100A" w:rsidRPr="003E29C0">
        <w:rPr>
          <w:lang w:val="en-GB"/>
        </w:rPr>
        <w:t xml:space="preserve"> </w:t>
      </w:r>
      <w:r w:rsidR="00F9100A" w:rsidRPr="003E29C0">
        <w:rPr>
          <w:szCs w:val="18"/>
        </w:rPr>
        <w:t>&amp;</w:t>
      </w:r>
      <w:r w:rsidRPr="003E29C0">
        <w:rPr>
          <w:lang w:val="en-GB"/>
        </w:rPr>
        <w:t xml:space="preserve"> Vrabcová (2020); </w:t>
      </w:r>
      <w:proofErr w:type="spellStart"/>
      <w:r w:rsidRPr="003E29C0">
        <w:rPr>
          <w:lang w:val="en-GB"/>
        </w:rPr>
        <w:t>Kooij</w:t>
      </w:r>
      <w:proofErr w:type="spellEnd"/>
      <w:r w:rsidRPr="003E29C0">
        <w:rPr>
          <w:lang w:val="en-GB"/>
        </w:rPr>
        <w:t xml:space="preserve"> (2020); </w:t>
      </w:r>
      <w:proofErr w:type="spellStart"/>
      <w:r w:rsidRPr="003E29C0">
        <w:rPr>
          <w:lang w:val="en-GB"/>
        </w:rPr>
        <w:t>Garavaglia</w:t>
      </w:r>
      <w:proofErr w:type="spellEnd"/>
      <w:r w:rsidRPr="003E29C0">
        <w:rPr>
          <w:lang w:val="en-GB"/>
        </w:rPr>
        <w:t xml:space="preserve"> et al. (2021).</w:t>
      </w:r>
    </w:p>
    <w:p w14:paraId="6B2DB968" w14:textId="77777777" w:rsidR="00101D43" w:rsidRPr="003E29C0" w:rsidRDefault="00101D43" w:rsidP="009F7957">
      <w:pPr>
        <w:pStyle w:val="HED-heading1"/>
        <w:rPr>
          <w:lang w:val="en-GB"/>
        </w:rPr>
      </w:pPr>
      <w:r w:rsidRPr="003E29C0">
        <w:rPr>
          <w:lang w:val="en-GB" w:eastAsia="zh-CN"/>
        </w:rPr>
        <w:t xml:space="preserve">2. </w:t>
      </w:r>
      <w:r w:rsidRPr="003E29C0">
        <w:rPr>
          <w:lang w:val="en-GB"/>
        </w:rPr>
        <w:t>Methodology</w:t>
      </w:r>
    </w:p>
    <w:p w14:paraId="7A6B1547" w14:textId="7E61D22F" w:rsidR="00FC5F98" w:rsidRPr="003E29C0" w:rsidRDefault="00FC5F98" w:rsidP="009F7957">
      <w:pPr>
        <w:pStyle w:val="HED-text"/>
        <w:rPr>
          <w:lang w:val="en-GB"/>
        </w:rPr>
      </w:pPr>
      <w:r w:rsidRPr="003E29C0">
        <w:rPr>
          <w:lang w:val="en-GB"/>
        </w:rPr>
        <w:t xml:space="preserve">In preparing for the research, previous publications and other documents related to age management and sustainable human resource management were looked into. The questionnaire survey was designed to comply with the ethical guidelines and the requirement of anonymity. A Google form was used for implementation purposes, and the questionnaire was completed by the middle or senior management of the organizations, </w:t>
      </w:r>
      <w:r w:rsidRPr="003E29C0">
        <w:rPr>
          <w:lang w:val="en-GB"/>
        </w:rPr>
        <w:lastRenderedPageBreak/>
        <w:t>or</w:t>
      </w:r>
      <w:r w:rsidR="0020542A" w:rsidRPr="003E29C0">
        <w:rPr>
          <w:lang w:val="en-GB"/>
        </w:rPr>
        <w:t> </w:t>
      </w:r>
      <w:r w:rsidRPr="003E29C0">
        <w:rPr>
          <w:lang w:val="en-GB"/>
        </w:rPr>
        <w:t>in</w:t>
      </w:r>
      <w:r w:rsidR="0020542A" w:rsidRPr="003E29C0">
        <w:rPr>
          <w:lang w:val="en-GB"/>
        </w:rPr>
        <w:t> </w:t>
      </w:r>
      <w:r w:rsidRPr="003E29C0">
        <w:rPr>
          <w:lang w:val="en-GB"/>
        </w:rPr>
        <w:t>the case of smaller organizations, by the owner (</w:t>
      </w:r>
      <w:r w:rsidRPr="003E29C0">
        <w:rPr>
          <w:i/>
          <w:iCs/>
          <w:lang w:val="en-GB"/>
        </w:rPr>
        <w:t>n</w:t>
      </w:r>
      <w:r w:rsidRPr="003E29C0">
        <w:rPr>
          <w:lang w:val="en-GB"/>
        </w:rPr>
        <w:t xml:space="preserve"> = 183). The survey was conducted from June 2020 to December 2020. The </w:t>
      </w:r>
      <w:r w:rsidR="001418AA" w:rsidRPr="003E29C0">
        <w:rPr>
          <w:lang w:val="en-GB"/>
        </w:rPr>
        <w:t>primary</w:t>
      </w:r>
      <w:r w:rsidRPr="003E29C0">
        <w:rPr>
          <w:lang w:val="en-GB"/>
        </w:rPr>
        <w:t xml:space="preserve"> identifying questions of the questionnaire survey include the following statistical qualitative and quantitative variables (the so-called identifying factors), see Table 2:</w:t>
      </w:r>
    </w:p>
    <w:p w14:paraId="3F4E0F28" w14:textId="77777777" w:rsidR="00FC5F98" w:rsidRPr="003E29C0" w:rsidRDefault="00FC5F98" w:rsidP="00A973DD">
      <w:pPr>
        <w:pStyle w:val="HED-bulletlist"/>
        <w:ind w:left="425" w:hanging="425"/>
        <w:rPr>
          <w:lang w:val="en-GB"/>
        </w:rPr>
      </w:pPr>
      <w:r w:rsidRPr="003E29C0">
        <w:rPr>
          <w:lang w:val="en-GB"/>
        </w:rPr>
        <w:t xml:space="preserve">the sector of business activities (primary, secondary, tertiary), </w:t>
      </w:r>
    </w:p>
    <w:p w14:paraId="30A84DEB" w14:textId="77777777" w:rsidR="00FC5F98" w:rsidRPr="003E29C0" w:rsidRDefault="00FC5F98" w:rsidP="00A973DD">
      <w:pPr>
        <w:pStyle w:val="HED-bulletlist"/>
        <w:ind w:left="425" w:hanging="425"/>
        <w:rPr>
          <w:lang w:val="en-GB"/>
        </w:rPr>
      </w:pPr>
      <w:r w:rsidRPr="003E29C0">
        <w:rPr>
          <w:lang w:val="en-GB"/>
        </w:rPr>
        <w:t>the size of the organization by the number of employees,</w:t>
      </w:r>
    </w:p>
    <w:p w14:paraId="43C208C9" w14:textId="77777777" w:rsidR="00FC5F98" w:rsidRPr="003E29C0" w:rsidRDefault="00FC5F98" w:rsidP="00A973DD">
      <w:pPr>
        <w:pStyle w:val="HED-bulletlist"/>
        <w:ind w:left="425" w:hanging="425"/>
        <w:rPr>
          <w:lang w:val="en-GB"/>
        </w:rPr>
      </w:pPr>
      <w:r w:rsidRPr="003E29C0">
        <w:rPr>
          <w:lang w:val="en-GB"/>
        </w:rPr>
        <w:t>the majority ownership (a Czech or a foreign organization),</w:t>
      </w:r>
    </w:p>
    <w:p w14:paraId="05D7EDC0" w14:textId="77777777" w:rsidR="00FC5F98" w:rsidRPr="003E29C0" w:rsidRDefault="00FC5F98" w:rsidP="00A973DD">
      <w:pPr>
        <w:pStyle w:val="HED-bulletlist"/>
        <w:ind w:left="425" w:hanging="425"/>
        <w:rPr>
          <w:lang w:val="en-GB"/>
        </w:rPr>
      </w:pPr>
      <w:r w:rsidRPr="003E29C0">
        <w:rPr>
          <w:lang w:val="en-GB"/>
        </w:rPr>
        <w:t xml:space="preserve">the type of the organization (private, public, non-profit), and </w:t>
      </w:r>
    </w:p>
    <w:p w14:paraId="47C89359" w14:textId="77777777" w:rsidR="00FC5F98" w:rsidRPr="003E29C0" w:rsidRDefault="00FC5F98" w:rsidP="00A973DD">
      <w:pPr>
        <w:pStyle w:val="HED-bulletlist"/>
        <w:ind w:left="425" w:hanging="425"/>
        <w:rPr>
          <w:lang w:val="en-GB"/>
        </w:rPr>
      </w:pPr>
      <w:r w:rsidRPr="003E29C0">
        <w:rPr>
          <w:lang w:val="en-GB"/>
        </w:rPr>
        <w:t>the annual turnover.</w:t>
      </w:r>
    </w:p>
    <w:p w14:paraId="542EC464" w14:textId="5F5347FB" w:rsidR="00101D43" w:rsidRPr="003E29C0" w:rsidRDefault="00FC5F98" w:rsidP="007501F6">
      <w:pPr>
        <w:pStyle w:val="HED-tablecaption"/>
      </w:pPr>
      <w:r w:rsidRPr="003E29C0">
        <w:rPr>
          <w:b/>
          <w:bCs/>
        </w:rPr>
        <w:t>Table 2.</w:t>
      </w:r>
      <w:r w:rsidRPr="003E29C0">
        <w:t xml:space="preserve"> The organizations that participated in the research – </w:t>
      </w:r>
      <w:r w:rsidR="001418AA" w:rsidRPr="003E29C0">
        <w:t>primary</w:t>
      </w:r>
      <w:r w:rsidRPr="003E29C0">
        <w:t xml:space="preserv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9"/>
        <w:gridCol w:w="1179"/>
        <w:gridCol w:w="1359"/>
        <w:gridCol w:w="1134"/>
      </w:tblGrid>
      <w:tr w:rsidR="00FC5F98" w:rsidRPr="003E29C0" w14:paraId="267FBC42" w14:textId="77777777" w:rsidTr="009B33EA">
        <w:trPr>
          <w:trHeight w:val="85"/>
          <w:jc w:val="center"/>
        </w:trPr>
        <w:tc>
          <w:tcPr>
            <w:tcW w:w="0" w:type="auto"/>
            <w:shd w:val="clear" w:color="auto" w:fill="auto"/>
            <w:noWrap/>
            <w:vAlign w:val="center"/>
            <w:hideMark/>
          </w:tcPr>
          <w:p w14:paraId="71E253EF" w14:textId="77777777" w:rsidR="00FC5F98" w:rsidRPr="00FC7B3E" w:rsidRDefault="00FC5F98" w:rsidP="00FC5F98">
            <w:pPr>
              <w:pStyle w:val="HED-tablebody"/>
              <w:rPr>
                <w:b/>
                <w:bCs/>
                <w:lang w:val="en-GB"/>
              </w:rPr>
            </w:pPr>
            <w:r w:rsidRPr="00FC7B3E">
              <w:rPr>
                <w:b/>
                <w:bCs/>
                <w:lang w:val="en-GB"/>
              </w:rPr>
              <w:t>Characteristics</w:t>
            </w:r>
          </w:p>
        </w:tc>
        <w:tc>
          <w:tcPr>
            <w:tcW w:w="0" w:type="auto"/>
            <w:gridSpan w:val="3"/>
            <w:shd w:val="clear" w:color="auto" w:fill="auto"/>
            <w:noWrap/>
            <w:vAlign w:val="center"/>
            <w:hideMark/>
          </w:tcPr>
          <w:p w14:paraId="12BAE213" w14:textId="77777777" w:rsidR="00FC5F98" w:rsidRPr="00FC7B3E" w:rsidRDefault="00FC5F98" w:rsidP="00FC5F98">
            <w:pPr>
              <w:pStyle w:val="HED-tablebody"/>
              <w:rPr>
                <w:b/>
                <w:bCs/>
                <w:lang w:val="en-GB"/>
              </w:rPr>
            </w:pPr>
            <w:r w:rsidRPr="00FC7B3E">
              <w:rPr>
                <w:b/>
                <w:bCs/>
                <w:lang w:val="en-GB"/>
              </w:rPr>
              <w:t>Categories</w:t>
            </w:r>
          </w:p>
        </w:tc>
      </w:tr>
      <w:tr w:rsidR="00FC5F98" w:rsidRPr="003E29C0" w14:paraId="0B4A897D" w14:textId="77777777" w:rsidTr="009B33EA">
        <w:trPr>
          <w:trHeight w:val="85"/>
          <w:jc w:val="center"/>
        </w:trPr>
        <w:tc>
          <w:tcPr>
            <w:tcW w:w="0" w:type="auto"/>
            <w:vMerge w:val="restart"/>
            <w:shd w:val="clear" w:color="auto" w:fill="auto"/>
            <w:noWrap/>
            <w:vAlign w:val="center"/>
            <w:hideMark/>
          </w:tcPr>
          <w:p w14:paraId="0D660326" w14:textId="77777777" w:rsidR="00FC5F98" w:rsidRPr="003E29C0" w:rsidRDefault="00FC5F98" w:rsidP="00FC5F98">
            <w:pPr>
              <w:pStyle w:val="HED-tablebody"/>
              <w:rPr>
                <w:lang w:val="en-GB"/>
              </w:rPr>
            </w:pPr>
            <w:r w:rsidRPr="003E29C0">
              <w:rPr>
                <w:lang w:val="en-GB"/>
              </w:rPr>
              <w:t>The sector of business activities</w:t>
            </w:r>
          </w:p>
        </w:tc>
        <w:tc>
          <w:tcPr>
            <w:tcW w:w="0" w:type="auto"/>
            <w:shd w:val="clear" w:color="auto" w:fill="auto"/>
            <w:noWrap/>
            <w:vAlign w:val="bottom"/>
          </w:tcPr>
          <w:p w14:paraId="1D93941C" w14:textId="77777777" w:rsidR="00FC5F98" w:rsidRPr="003E29C0" w:rsidRDefault="00FC5F98" w:rsidP="00FC5F98">
            <w:pPr>
              <w:pStyle w:val="HED-tablebody"/>
              <w:rPr>
                <w:lang w:val="en-GB"/>
              </w:rPr>
            </w:pPr>
            <w:r w:rsidRPr="003E29C0">
              <w:rPr>
                <w:lang w:val="en-GB"/>
              </w:rPr>
              <w:t>Primary</w:t>
            </w:r>
          </w:p>
        </w:tc>
        <w:tc>
          <w:tcPr>
            <w:tcW w:w="0" w:type="auto"/>
          </w:tcPr>
          <w:p w14:paraId="41A5BEB4" w14:textId="77777777" w:rsidR="00FC5F98" w:rsidRPr="003E29C0" w:rsidRDefault="00FC5F98" w:rsidP="00FC5F98">
            <w:pPr>
              <w:pStyle w:val="HED-tablebody"/>
              <w:rPr>
                <w:lang w:val="en-GB"/>
              </w:rPr>
            </w:pPr>
            <w:r w:rsidRPr="003E29C0">
              <w:rPr>
                <w:lang w:val="en-GB"/>
              </w:rPr>
              <w:t>Secondary</w:t>
            </w:r>
          </w:p>
        </w:tc>
        <w:tc>
          <w:tcPr>
            <w:tcW w:w="0" w:type="auto"/>
          </w:tcPr>
          <w:p w14:paraId="0E91D2A4" w14:textId="77777777" w:rsidR="00FC5F98" w:rsidRPr="003E29C0" w:rsidRDefault="00FC5F98" w:rsidP="00FC5F98">
            <w:pPr>
              <w:pStyle w:val="HED-tablebody"/>
              <w:rPr>
                <w:lang w:val="en-GB"/>
              </w:rPr>
            </w:pPr>
            <w:r w:rsidRPr="003E29C0">
              <w:rPr>
                <w:lang w:val="en-GB"/>
              </w:rPr>
              <w:t>Tertiary</w:t>
            </w:r>
          </w:p>
        </w:tc>
      </w:tr>
      <w:tr w:rsidR="00FC5F98" w:rsidRPr="003E29C0" w14:paraId="2916216B" w14:textId="77777777" w:rsidTr="009B33EA">
        <w:trPr>
          <w:trHeight w:val="85"/>
          <w:jc w:val="center"/>
        </w:trPr>
        <w:tc>
          <w:tcPr>
            <w:tcW w:w="0" w:type="auto"/>
            <w:vMerge/>
            <w:shd w:val="clear" w:color="auto" w:fill="auto"/>
            <w:noWrap/>
            <w:vAlign w:val="bottom"/>
            <w:hideMark/>
          </w:tcPr>
          <w:p w14:paraId="458944D2" w14:textId="77777777" w:rsidR="00FC5F98" w:rsidRPr="003E29C0" w:rsidRDefault="00FC5F98" w:rsidP="00FC5F98">
            <w:pPr>
              <w:pStyle w:val="HED-tablebody"/>
              <w:rPr>
                <w:lang w:val="en-GB"/>
              </w:rPr>
            </w:pPr>
          </w:p>
        </w:tc>
        <w:tc>
          <w:tcPr>
            <w:tcW w:w="0" w:type="auto"/>
            <w:shd w:val="clear" w:color="auto" w:fill="auto"/>
            <w:noWrap/>
            <w:vAlign w:val="bottom"/>
          </w:tcPr>
          <w:p w14:paraId="3E21FFE9" w14:textId="77777777" w:rsidR="00FC5F98" w:rsidRPr="003E29C0" w:rsidRDefault="00FC5F98" w:rsidP="003E29C0">
            <w:pPr>
              <w:pStyle w:val="HED-tablebody"/>
              <w:jc w:val="right"/>
              <w:rPr>
                <w:lang w:val="en-GB"/>
              </w:rPr>
            </w:pPr>
            <w:r w:rsidRPr="003E29C0">
              <w:rPr>
                <w:lang w:val="en-GB"/>
              </w:rPr>
              <w:t>4.4%</w:t>
            </w:r>
          </w:p>
        </w:tc>
        <w:tc>
          <w:tcPr>
            <w:tcW w:w="0" w:type="auto"/>
          </w:tcPr>
          <w:p w14:paraId="39635C65" w14:textId="77777777" w:rsidR="00FC5F98" w:rsidRPr="003E29C0" w:rsidRDefault="00FC5F98" w:rsidP="003E29C0">
            <w:pPr>
              <w:pStyle w:val="HED-tablebody"/>
              <w:jc w:val="right"/>
              <w:rPr>
                <w:lang w:val="en-GB"/>
              </w:rPr>
            </w:pPr>
            <w:r w:rsidRPr="003E29C0">
              <w:rPr>
                <w:lang w:val="en-GB"/>
              </w:rPr>
              <w:t>41.5%</w:t>
            </w:r>
          </w:p>
        </w:tc>
        <w:tc>
          <w:tcPr>
            <w:tcW w:w="0" w:type="auto"/>
          </w:tcPr>
          <w:p w14:paraId="33DC64DC" w14:textId="77777777" w:rsidR="00FC5F98" w:rsidRPr="003E29C0" w:rsidRDefault="00FC5F98" w:rsidP="003E29C0">
            <w:pPr>
              <w:pStyle w:val="HED-tablebody"/>
              <w:jc w:val="right"/>
              <w:rPr>
                <w:lang w:val="en-GB"/>
              </w:rPr>
            </w:pPr>
            <w:r w:rsidRPr="003E29C0">
              <w:rPr>
                <w:lang w:val="en-GB"/>
              </w:rPr>
              <w:t>54.1%</w:t>
            </w:r>
          </w:p>
        </w:tc>
      </w:tr>
      <w:tr w:rsidR="00FC5F98" w:rsidRPr="003E29C0" w14:paraId="70FCB5C6" w14:textId="77777777" w:rsidTr="009B33EA">
        <w:trPr>
          <w:trHeight w:val="85"/>
          <w:jc w:val="center"/>
        </w:trPr>
        <w:tc>
          <w:tcPr>
            <w:tcW w:w="0" w:type="auto"/>
            <w:vMerge w:val="restart"/>
            <w:shd w:val="clear" w:color="auto" w:fill="auto"/>
            <w:noWrap/>
            <w:vAlign w:val="center"/>
          </w:tcPr>
          <w:p w14:paraId="510CC303" w14:textId="77777777" w:rsidR="00FC5F98" w:rsidRPr="003E29C0" w:rsidRDefault="00FC5F98" w:rsidP="00FC5F98">
            <w:pPr>
              <w:pStyle w:val="HED-tablebody"/>
              <w:rPr>
                <w:lang w:val="en-GB"/>
              </w:rPr>
            </w:pPr>
            <w:r w:rsidRPr="003E29C0">
              <w:rPr>
                <w:lang w:val="en-GB"/>
              </w:rPr>
              <w:t xml:space="preserve">The size of the organization </w:t>
            </w:r>
          </w:p>
        </w:tc>
        <w:tc>
          <w:tcPr>
            <w:tcW w:w="0" w:type="auto"/>
            <w:shd w:val="clear" w:color="auto" w:fill="auto"/>
            <w:noWrap/>
            <w:vAlign w:val="bottom"/>
          </w:tcPr>
          <w:p w14:paraId="71A22C51" w14:textId="77777777" w:rsidR="00FC5F98" w:rsidRPr="003E29C0" w:rsidRDefault="00FC5F98" w:rsidP="003E29C0">
            <w:pPr>
              <w:pStyle w:val="HED-tablebody"/>
              <w:jc w:val="right"/>
              <w:rPr>
                <w:lang w:val="en-GB"/>
              </w:rPr>
            </w:pPr>
            <w:r w:rsidRPr="003E29C0">
              <w:rPr>
                <w:lang w:val="en-GB"/>
              </w:rPr>
              <w:t>&lt;50</w:t>
            </w:r>
          </w:p>
        </w:tc>
        <w:tc>
          <w:tcPr>
            <w:tcW w:w="0" w:type="auto"/>
          </w:tcPr>
          <w:p w14:paraId="758B24A5" w14:textId="77777777" w:rsidR="00FC5F98" w:rsidRPr="003E29C0" w:rsidRDefault="00FC5F98" w:rsidP="003E29C0">
            <w:pPr>
              <w:pStyle w:val="HED-tablebody"/>
              <w:jc w:val="right"/>
              <w:rPr>
                <w:lang w:val="en-GB"/>
              </w:rPr>
            </w:pPr>
            <w:r w:rsidRPr="003E29C0">
              <w:rPr>
                <w:lang w:val="en-GB"/>
              </w:rPr>
              <w:t>51–249</w:t>
            </w:r>
          </w:p>
        </w:tc>
        <w:tc>
          <w:tcPr>
            <w:tcW w:w="0" w:type="auto"/>
          </w:tcPr>
          <w:p w14:paraId="7609CCA4" w14:textId="77777777" w:rsidR="00FC5F98" w:rsidRPr="003E29C0" w:rsidRDefault="00FC5F98" w:rsidP="003E29C0">
            <w:pPr>
              <w:pStyle w:val="HED-tablebody"/>
              <w:jc w:val="right"/>
              <w:rPr>
                <w:lang w:val="en-GB"/>
              </w:rPr>
            </w:pPr>
            <w:r w:rsidRPr="003E29C0">
              <w:rPr>
                <w:lang w:val="en-GB"/>
              </w:rPr>
              <w:t>&gt;250</w:t>
            </w:r>
          </w:p>
        </w:tc>
      </w:tr>
      <w:tr w:rsidR="00FC5F98" w:rsidRPr="003E29C0" w14:paraId="7433A13F" w14:textId="77777777" w:rsidTr="009B33EA">
        <w:trPr>
          <w:trHeight w:val="85"/>
          <w:jc w:val="center"/>
        </w:trPr>
        <w:tc>
          <w:tcPr>
            <w:tcW w:w="0" w:type="auto"/>
            <w:vMerge/>
            <w:shd w:val="clear" w:color="auto" w:fill="auto"/>
            <w:noWrap/>
            <w:vAlign w:val="bottom"/>
          </w:tcPr>
          <w:p w14:paraId="29D6530F" w14:textId="77777777" w:rsidR="00FC5F98" w:rsidRPr="003E29C0" w:rsidRDefault="00FC5F98" w:rsidP="00FC5F98">
            <w:pPr>
              <w:pStyle w:val="HED-tablebody"/>
              <w:rPr>
                <w:lang w:val="en-GB"/>
              </w:rPr>
            </w:pPr>
          </w:p>
        </w:tc>
        <w:tc>
          <w:tcPr>
            <w:tcW w:w="0" w:type="auto"/>
            <w:shd w:val="clear" w:color="auto" w:fill="auto"/>
            <w:noWrap/>
            <w:vAlign w:val="bottom"/>
          </w:tcPr>
          <w:p w14:paraId="1E3D301B" w14:textId="77777777" w:rsidR="00FC5F98" w:rsidRPr="003E29C0" w:rsidRDefault="00FC5F98" w:rsidP="003E29C0">
            <w:pPr>
              <w:pStyle w:val="HED-tablebody"/>
              <w:jc w:val="right"/>
              <w:rPr>
                <w:lang w:val="en-GB"/>
              </w:rPr>
            </w:pPr>
            <w:r w:rsidRPr="003E29C0">
              <w:rPr>
                <w:lang w:val="en-GB"/>
              </w:rPr>
              <w:t>26.2%</w:t>
            </w:r>
          </w:p>
        </w:tc>
        <w:tc>
          <w:tcPr>
            <w:tcW w:w="0" w:type="auto"/>
          </w:tcPr>
          <w:p w14:paraId="2C6B447E" w14:textId="77777777" w:rsidR="00FC5F98" w:rsidRPr="003E29C0" w:rsidRDefault="00FC5F98" w:rsidP="003E29C0">
            <w:pPr>
              <w:pStyle w:val="HED-tablebody"/>
              <w:jc w:val="right"/>
              <w:rPr>
                <w:lang w:val="en-GB"/>
              </w:rPr>
            </w:pPr>
            <w:r w:rsidRPr="003E29C0">
              <w:rPr>
                <w:lang w:val="en-GB"/>
              </w:rPr>
              <w:t>28.4%</w:t>
            </w:r>
          </w:p>
        </w:tc>
        <w:tc>
          <w:tcPr>
            <w:tcW w:w="0" w:type="auto"/>
          </w:tcPr>
          <w:p w14:paraId="2A2F5098" w14:textId="77777777" w:rsidR="00FC5F98" w:rsidRPr="003E29C0" w:rsidRDefault="00FC5F98" w:rsidP="003E29C0">
            <w:pPr>
              <w:pStyle w:val="HED-tablebody"/>
              <w:jc w:val="right"/>
              <w:rPr>
                <w:lang w:val="en-GB"/>
              </w:rPr>
            </w:pPr>
            <w:r w:rsidRPr="003E29C0">
              <w:rPr>
                <w:lang w:val="en-GB"/>
              </w:rPr>
              <w:t>45.4%</w:t>
            </w:r>
          </w:p>
        </w:tc>
      </w:tr>
      <w:tr w:rsidR="00FC5F98" w:rsidRPr="003E29C0" w14:paraId="53DCABD9" w14:textId="77777777" w:rsidTr="009B33EA">
        <w:trPr>
          <w:trHeight w:val="85"/>
          <w:jc w:val="center"/>
        </w:trPr>
        <w:tc>
          <w:tcPr>
            <w:tcW w:w="0" w:type="auto"/>
            <w:vMerge w:val="restart"/>
            <w:shd w:val="clear" w:color="auto" w:fill="auto"/>
            <w:noWrap/>
            <w:vAlign w:val="center"/>
          </w:tcPr>
          <w:p w14:paraId="7BBDD968" w14:textId="77777777" w:rsidR="00FC5F98" w:rsidRPr="003E29C0" w:rsidRDefault="00FC5F98" w:rsidP="00FC5F98">
            <w:pPr>
              <w:pStyle w:val="HED-tablebody"/>
              <w:rPr>
                <w:lang w:val="en-GB"/>
              </w:rPr>
            </w:pPr>
            <w:r w:rsidRPr="003E29C0">
              <w:rPr>
                <w:lang w:val="en-GB"/>
              </w:rPr>
              <w:t>The majority ownership</w:t>
            </w:r>
          </w:p>
        </w:tc>
        <w:tc>
          <w:tcPr>
            <w:tcW w:w="0" w:type="auto"/>
            <w:shd w:val="clear" w:color="auto" w:fill="auto"/>
            <w:noWrap/>
            <w:vAlign w:val="bottom"/>
          </w:tcPr>
          <w:p w14:paraId="3D4A5DCC" w14:textId="77777777" w:rsidR="00FC5F98" w:rsidRPr="003E29C0" w:rsidRDefault="00FC5F98" w:rsidP="00FC5F98">
            <w:pPr>
              <w:pStyle w:val="HED-tablebody"/>
              <w:rPr>
                <w:lang w:val="en-GB"/>
              </w:rPr>
            </w:pPr>
            <w:r w:rsidRPr="003E29C0">
              <w:rPr>
                <w:lang w:val="en-GB"/>
              </w:rPr>
              <w:t>Domestic</w:t>
            </w:r>
          </w:p>
        </w:tc>
        <w:tc>
          <w:tcPr>
            <w:tcW w:w="0" w:type="auto"/>
            <w:gridSpan w:val="2"/>
            <w:vAlign w:val="center"/>
          </w:tcPr>
          <w:p w14:paraId="68FD2E0E" w14:textId="77777777" w:rsidR="00FC5F98" w:rsidRPr="003E29C0" w:rsidRDefault="00FC5F98" w:rsidP="00FC5F98">
            <w:pPr>
              <w:pStyle w:val="HED-tablebody"/>
              <w:rPr>
                <w:lang w:val="en-GB"/>
              </w:rPr>
            </w:pPr>
            <w:r w:rsidRPr="003E29C0">
              <w:rPr>
                <w:lang w:val="en-GB"/>
              </w:rPr>
              <w:t>Foreign</w:t>
            </w:r>
          </w:p>
        </w:tc>
      </w:tr>
      <w:tr w:rsidR="00FC5F98" w:rsidRPr="003E29C0" w14:paraId="2E126294" w14:textId="77777777" w:rsidTr="009B33EA">
        <w:trPr>
          <w:trHeight w:val="85"/>
          <w:jc w:val="center"/>
        </w:trPr>
        <w:tc>
          <w:tcPr>
            <w:tcW w:w="0" w:type="auto"/>
            <w:vMerge/>
            <w:shd w:val="clear" w:color="auto" w:fill="auto"/>
            <w:noWrap/>
            <w:vAlign w:val="center"/>
          </w:tcPr>
          <w:p w14:paraId="53B978BA" w14:textId="77777777" w:rsidR="00FC5F98" w:rsidRPr="003E29C0" w:rsidRDefault="00FC5F98" w:rsidP="00FC5F98">
            <w:pPr>
              <w:pStyle w:val="HED-tablebody"/>
              <w:rPr>
                <w:lang w:val="en-GB"/>
              </w:rPr>
            </w:pPr>
          </w:p>
        </w:tc>
        <w:tc>
          <w:tcPr>
            <w:tcW w:w="0" w:type="auto"/>
            <w:shd w:val="clear" w:color="auto" w:fill="auto"/>
            <w:noWrap/>
            <w:vAlign w:val="bottom"/>
          </w:tcPr>
          <w:p w14:paraId="0D5949B2" w14:textId="77777777" w:rsidR="00FC5F98" w:rsidRPr="003E29C0" w:rsidRDefault="00FC5F98" w:rsidP="003E29C0">
            <w:pPr>
              <w:pStyle w:val="HED-tablebody"/>
              <w:jc w:val="right"/>
              <w:rPr>
                <w:lang w:val="en-GB"/>
              </w:rPr>
            </w:pPr>
            <w:r w:rsidRPr="003E29C0">
              <w:rPr>
                <w:lang w:val="en-GB"/>
              </w:rPr>
              <w:t>45.4%</w:t>
            </w:r>
          </w:p>
        </w:tc>
        <w:tc>
          <w:tcPr>
            <w:tcW w:w="0" w:type="auto"/>
            <w:gridSpan w:val="2"/>
            <w:vAlign w:val="center"/>
          </w:tcPr>
          <w:p w14:paraId="356CE823" w14:textId="77777777" w:rsidR="00FC5F98" w:rsidRPr="003E29C0" w:rsidRDefault="00FC5F98" w:rsidP="003E29C0">
            <w:pPr>
              <w:pStyle w:val="HED-tablebody"/>
              <w:jc w:val="right"/>
              <w:rPr>
                <w:lang w:val="en-GB"/>
              </w:rPr>
            </w:pPr>
            <w:r w:rsidRPr="003E29C0">
              <w:rPr>
                <w:lang w:val="en-GB"/>
              </w:rPr>
              <w:t>54.6%</w:t>
            </w:r>
          </w:p>
        </w:tc>
      </w:tr>
      <w:tr w:rsidR="00FC5F98" w:rsidRPr="003E29C0" w14:paraId="5494AEF0" w14:textId="77777777" w:rsidTr="009B33EA">
        <w:trPr>
          <w:trHeight w:val="85"/>
          <w:jc w:val="center"/>
        </w:trPr>
        <w:tc>
          <w:tcPr>
            <w:tcW w:w="0" w:type="auto"/>
            <w:vMerge w:val="restart"/>
            <w:shd w:val="clear" w:color="auto" w:fill="auto"/>
            <w:noWrap/>
            <w:vAlign w:val="center"/>
          </w:tcPr>
          <w:p w14:paraId="125C95C5" w14:textId="77777777" w:rsidR="00FC5F98" w:rsidRPr="003E29C0" w:rsidRDefault="00FC5F98" w:rsidP="00FC5F98">
            <w:pPr>
              <w:pStyle w:val="HED-tablebody"/>
              <w:rPr>
                <w:lang w:val="en-GB"/>
              </w:rPr>
            </w:pPr>
            <w:r w:rsidRPr="003E29C0">
              <w:rPr>
                <w:lang w:val="en-GB"/>
              </w:rPr>
              <w:t>The type of the organization</w:t>
            </w:r>
          </w:p>
        </w:tc>
        <w:tc>
          <w:tcPr>
            <w:tcW w:w="0" w:type="auto"/>
            <w:shd w:val="clear" w:color="auto" w:fill="auto"/>
            <w:noWrap/>
            <w:vAlign w:val="bottom"/>
          </w:tcPr>
          <w:p w14:paraId="04EA5D6B" w14:textId="77777777" w:rsidR="00FC5F98" w:rsidRPr="003E29C0" w:rsidRDefault="00FC5F98" w:rsidP="00FC5F98">
            <w:pPr>
              <w:pStyle w:val="HED-tablebody"/>
              <w:rPr>
                <w:lang w:val="en-GB"/>
              </w:rPr>
            </w:pPr>
            <w:r w:rsidRPr="003E29C0">
              <w:rPr>
                <w:lang w:val="en-GB"/>
              </w:rPr>
              <w:t>Private</w:t>
            </w:r>
          </w:p>
        </w:tc>
        <w:tc>
          <w:tcPr>
            <w:tcW w:w="0" w:type="auto"/>
          </w:tcPr>
          <w:p w14:paraId="2E0E83DA" w14:textId="77777777" w:rsidR="00FC5F98" w:rsidRPr="003E29C0" w:rsidRDefault="00FC5F98" w:rsidP="00FC5F98">
            <w:pPr>
              <w:pStyle w:val="HED-tablebody"/>
              <w:rPr>
                <w:lang w:val="en-GB"/>
              </w:rPr>
            </w:pPr>
            <w:r w:rsidRPr="003E29C0">
              <w:rPr>
                <w:lang w:val="en-GB"/>
              </w:rPr>
              <w:t>Public</w:t>
            </w:r>
          </w:p>
        </w:tc>
        <w:tc>
          <w:tcPr>
            <w:tcW w:w="0" w:type="auto"/>
          </w:tcPr>
          <w:p w14:paraId="7DE4FB96" w14:textId="77777777" w:rsidR="00FC5F98" w:rsidRPr="003E29C0" w:rsidRDefault="00FC5F98" w:rsidP="00FC5F98">
            <w:pPr>
              <w:pStyle w:val="HED-tablebody"/>
              <w:rPr>
                <w:lang w:val="en-GB"/>
              </w:rPr>
            </w:pPr>
            <w:r w:rsidRPr="003E29C0">
              <w:rPr>
                <w:lang w:val="en-GB"/>
              </w:rPr>
              <w:t>Non-profit</w:t>
            </w:r>
          </w:p>
        </w:tc>
      </w:tr>
      <w:tr w:rsidR="00FC5F98" w:rsidRPr="003E29C0" w14:paraId="332EE99D" w14:textId="77777777" w:rsidTr="009B33EA">
        <w:trPr>
          <w:trHeight w:val="85"/>
          <w:jc w:val="center"/>
        </w:trPr>
        <w:tc>
          <w:tcPr>
            <w:tcW w:w="0" w:type="auto"/>
            <w:vMerge/>
            <w:shd w:val="clear" w:color="auto" w:fill="auto"/>
            <w:noWrap/>
            <w:vAlign w:val="center"/>
          </w:tcPr>
          <w:p w14:paraId="67081A5B" w14:textId="77777777" w:rsidR="00FC5F98" w:rsidRPr="003E29C0" w:rsidRDefault="00FC5F98" w:rsidP="00FC5F98">
            <w:pPr>
              <w:pStyle w:val="HED-tablebody"/>
              <w:rPr>
                <w:lang w:val="en-GB"/>
              </w:rPr>
            </w:pPr>
          </w:p>
        </w:tc>
        <w:tc>
          <w:tcPr>
            <w:tcW w:w="0" w:type="auto"/>
            <w:shd w:val="clear" w:color="auto" w:fill="auto"/>
            <w:noWrap/>
            <w:vAlign w:val="bottom"/>
          </w:tcPr>
          <w:p w14:paraId="3CE807D9" w14:textId="77777777" w:rsidR="00FC5F98" w:rsidRPr="003E29C0" w:rsidRDefault="00FC5F98" w:rsidP="003E29C0">
            <w:pPr>
              <w:pStyle w:val="HED-tablebody"/>
              <w:jc w:val="right"/>
              <w:rPr>
                <w:lang w:val="en-GB"/>
              </w:rPr>
            </w:pPr>
            <w:r w:rsidRPr="003E29C0">
              <w:rPr>
                <w:lang w:val="en-GB"/>
              </w:rPr>
              <w:t>85.8%</w:t>
            </w:r>
          </w:p>
        </w:tc>
        <w:tc>
          <w:tcPr>
            <w:tcW w:w="0" w:type="auto"/>
          </w:tcPr>
          <w:p w14:paraId="2C81F42A" w14:textId="77777777" w:rsidR="00FC5F98" w:rsidRPr="003E29C0" w:rsidRDefault="00FC5F98" w:rsidP="003E29C0">
            <w:pPr>
              <w:pStyle w:val="HED-tablebody"/>
              <w:jc w:val="right"/>
              <w:rPr>
                <w:lang w:val="en-GB"/>
              </w:rPr>
            </w:pPr>
            <w:r w:rsidRPr="003E29C0">
              <w:rPr>
                <w:lang w:val="en-GB"/>
              </w:rPr>
              <w:t>11.5%</w:t>
            </w:r>
          </w:p>
        </w:tc>
        <w:tc>
          <w:tcPr>
            <w:tcW w:w="0" w:type="auto"/>
          </w:tcPr>
          <w:p w14:paraId="1080AB0E" w14:textId="77777777" w:rsidR="00FC5F98" w:rsidRPr="003E29C0" w:rsidRDefault="00FC5F98" w:rsidP="003E29C0">
            <w:pPr>
              <w:pStyle w:val="HED-tablebody"/>
              <w:jc w:val="right"/>
              <w:rPr>
                <w:lang w:val="en-GB"/>
              </w:rPr>
            </w:pPr>
            <w:r w:rsidRPr="003E29C0">
              <w:rPr>
                <w:lang w:val="en-GB"/>
              </w:rPr>
              <w:t>2.7%</w:t>
            </w:r>
          </w:p>
        </w:tc>
      </w:tr>
      <w:tr w:rsidR="00FC5F98" w:rsidRPr="003E29C0" w14:paraId="0646FDC1" w14:textId="77777777" w:rsidTr="009B33EA">
        <w:trPr>
          <w:trHeight w:val="85"/>
          <w:jc w:val="center"/>
        </w:trPr>
        <w:tc>
          <w:tcPr>
            <w:tcW w:w="0" w:type="auto"/>
            <w:vMerge w:val="restart"/>
            <w:shd w:val="clear" w:color="auto" w:fill="auto"/>
            <w:noWrap/>
            <w:vAlign w:val="center"/>
            <w:hideMark/>
          </w:tcPr>
          <w:p w14:paraId="29C50859" w14:textId="77777777" w:rsidR="00FC5F98" w:rsidRPr="003E29C0" w:rsidRDefault="00FC5F98" w:rsidP="00FC5F98">
            <w:pPr>
              <w:pStyle w:val="HED-tablebody"/>
              <w:rPr>
                <w:lang w:val="en-GB"/>
              </w:rPr>
            </w:pPr>
            <w:r w:rsidRPr="003E29C0">
              <w:rPr>
                <w:lang w:val="en-GB"/>
              </w:rPr>
              <w:t>The annual turnover</w:t>
            </w:r>
          </w:p>
        </w:tc>
        <w:tc>
          <w:tcPr>
            <w:tcW w:w="0" w:type="auto"/>
            <w:shd w:val="clear" w:color="auto" w:fill="auto"/>
            <w:noWrap/>
            <w:vAlign w:val="center"/>
            <w:hideMark/>
          </w:tcPr>
          <w:p w14:paraId="06DE0FC8" w14:textId="77777777" w:rsidR="00FC5F98" w:rsidRPr="003E29C0" w:rsidRDefault="00FC5F98" w:rsidP="00FC5F98">
            <w:pPr>
              <w:pStyle w:val="HED-tablebody"/>
              <w:rPr>
                <w:lang w:val="en-GB"/>
              </w:rPr>
            </w:pPr>
            <w:r w:rsidRPr="003E29C0">
              <w:rPr>
                <w:lang w:val="en-GB"/>
              </w:rPr>
              <w:t>&lt;10 mil. EUR</w:t>
            </w:r>
          </w:p>
        </w:tc>
        <w:tc>
          <w:tcPr>
            <w:tcW w:w="0" w:type="auto"/>
            <w:vAlign w:val="center"/>
          </w:tcPr>
          <w:p w14:paraId="10103025" w14:textId="77777777" w:rsidR="00FC5F98" w:rsidRPr="003E29C0" w:rsidRDefault="00FC5F98" w:rsidP="00FC5F98">
            <w:pPr>
              <w:pStyle w:val="HED-tablebody"/>
              <w:rPr>
                <w:lang w:val="en-GB"/>
              </w:rPr>
            </w:pPr>
            <w:r w:rsidRPr="003E29C0">
              <w:rPr>
                <w:lang w:val="en-GB"/>
              </w:rPr>
              <w:t>11–50 mil. EUR</w:t>
            </w:r>
          </w:p>
        </w:tc>
        <w:tc>
          <w:tcPr>
            <w:tcW w:w="0" w:type="auto"/>
            <w:vAlign w:val="center"/>
          </w:tcPr>
          <w:p w14:paraId="5813AFAA" w14:textId="77777777" w:rsidR="00FC5F98" w:rsidRPr="003E29C0" w:rsidRDefault="00FC5F98" w:rsidP="00FC5F98">
            <w:pPr>
              <w:pStyle w:val="HED-tablebody"/>
              <w:rPr>
                <w:lang w:val="en-GB"/>
              </w:rPr>
            </w:pPr>
            <w:r w:rsidRPr="003E29C0">
              <w:rPr>
                <w:lang w:val="en-GB"/>
              </w:rPr>
              <w:t>&gt;50 mil EUR</w:t>
            </w:r>
          </w:p>
        </w:tc>
      </w:tr>
      <w:tr w:rsidR="00FC5F98" w:rsidRPr="003E29C0" w14:paraId="13516286" w14:textId="77777777" w:rsidTr="009B33EA">
        <w:trPr>
          <w:trHeight w:val="85"/>
          <w:jc w:val="center"/>
        </w:trPr>
        <w:tc>
          <w:tcPr>
            <w:tcW w:w="0" w:type="auto"/>
            <w:vMerge/>
            <w:shd w:val="clear" w:color="auto" w:fill="auto"/>
            <w:noWrap/>
            <w:vAlign w:val="bottom"/>
            <w:hideMark/>
          </w:tcPr>
          <w:p w14:paraId="6C81854A" w14:textId="77777777" w:rsidR="00FC5F98" w:rsidRPr="003E29C0" w:rsidRDefault="00FC5F98" w:rsidP="00FC5F98">
            <w:pPr>
              <w:pStyle w:val="HED-tablebody"/>
              <w:rPr>
                <w:lang w:val="en-GB"/>
              </w:rPr>
            </w:pPr>
          </w:p>
        </w:tc>
        <w:tc>
          <w:tcPr>
            <w:tcW w:w="0" w:type="auto"/>
            <w:shd w:val="clear" w:color="auto" w:fill="auto"/>
            <w:noWrap/>
            <w:vAlign w:val="bottom"/>
            <w:hideMark/>
          </w:tcPr>
          <w:p w14:paraId="3FE36038" w14:textId="77777777" w:rsidR="00FC5F98" w:rsidRPr="003E29C0" w:rsidRDefault="00FC5F98" w:rsidP="003E29C0">
            <w:pPr>
              <w:pStyle w:val="HED-tablebody"/>
              <w:jc w:val="right"/>
              <w:rPr>
                <w:lang w:val="en-GB"/>
              </w:rPr>
            </w:pPr>
            <w:r w:rsidRPr="003E29C0">
              <w:rPr>
                <w:lang w:val="en-GB"/>
              </w:rPr>
              <w:t>38.3%</w:t>
            </w:r>
          </w:p>
        </w:tc>
        <w:tc>
          <w:tcPr>
            <w:tcW w:w="0" w:type="auto"/>
          </w:tcPr>
          <w:p w14:paraId="10EF1365" w14:textId="77777777" w:rsidR="00FC5F98" w:rsidRPr="003E29C0" w:rsidRDefault="00FC5F98" w:rsidP="003E29C0">
            <w:pPr>
              <w:pStyle w:val="HED-tablebody"/>
              <w:jc w:val="right"/>
              <w:rPr>
                <w:lang w:val="en-GB"/>
              </w:rPr>
            </w:pPr>
            <w:r w:rsidRPr="003E29C0">
              <w:rPr>
                <w:lang w:val="en-GB"/>
              </w:rPr>
              <w:t>37.7%</w:t>
            </w:r>
          </w:p>
        </w:tc>
        <w:tc>
          <w:tcPr>
            <w:tcW w:w="0" w:type="auto"/>
          </w:tcPr>
          <w:p w14:paraId="3EC7D55F" w14:textId="77777777" w:rsidR="00FC5F98" w:rsidRPr="003E29C0" w:rsidRDefault="00FC5F98" w:rsidP="003E29C0">
            <w:pPr>
              <w:pStyle w:val="HED-tablebody"/>
              <w:jc w:val="right"/>
              <w:rPr>
                <w:lang w:val="en-GB"/>
              </w:rPr>
            </w:pPr>
            <w:r w:rsidRPr="003E29C0">
              <w:rPr>
                <w:lang w:val="en-GB"/>
              </w:rPr>
              <w:t>24.0%</w:t>
            </w:r>
          </w:p>
        </w:tc>
      </w:tr>
    </w:tbl>
    <w:p w14:paraId="2A138B25" w14:textId="4AA375EB" w:rsidR="00FC5F98" w:rsidRPr="003E29C0" w:rsidRDefault="00FC5F98" w:rsidP="009F7957">
      <w:pPr>
        <w:pStyle w:val="HED-text"/>
        <w:rPr>
          <w:lang w:val="en-GB"/>
        </w:rPr>
      </w:pPr>
    </w:p>
    <w:p w14:paraId="7BEF85D8" w14:textId="1384CCA3" w:rsidR="00FC5F98" w:rsidRPr="003E29C0" w:rsidRDefault="00FC5F98" w:rsidP="009F7957">
      <w:pPr>
        <w:pStyle w:val="HED-text"/>
        <w:rPr>
          <w:lang w:val="en-GB"/>
        </w:rPr>
      </w:pPr>
      <w:r w:rsidRPr="003E29C0">
        <w:rPr>
          <w:lang w:val="en-GB"/>
        </w:rPr>
        <w:t>The correlations between the selected qualitative and identifying factors were tested. The Chi-square (</w:t>
      </w:r>
      <w:r w:rsidRPr="003E29C0">
        <w:rPr>
          <w:i/>
          <w:iCs/>
          <w:lang w:val="en-GB"/>
        </w:rPr>
        <w:t>χ2</w:t>
      </w:r>
      <w:r w:rsidRPr="003E29C0">
        <w:rPr>
          <w:lang w:val="en-GB"/>
        </w:rPr>
        <w:t xml:space="preserve">) tests of independence in the combination table </w:t>
      </w:r>
      <w:r w:rsidR="00616088" w:rsidRPr="003E29C0">
        <w:rPr>
          <w:lang w:val="en-GB"/>
        </w:rPr>
        <w:t>with</w:t>
      </w:r>
      <w:r w:rsidRPr="003E29C0">
        <w:rPr>
          <w:lang w:val="en-GB"/>
        </w:rPr>
        <w:t xml:space="preserve"> (</w:t>
      </w:r>
      <w:r w:rsidRPr="003E29C0">
        <w:rPr>
          <w:i/>
          <w:iCs/>
          <w:lang w:val="en-GB"/>
        </w:rPr>
        <w:t>r</w:t>
      </w:r>
      <w:r w:rsidR="007501F6" w:rsidRPr="003E29C0">
        <w:rPr>
          <w:lang w:val="en-GB"/>
        </w:rPr>
        <w:t>–</w:t>
      </w:r>
      <w:proofErr w:type="gramStart"/>
      <w:r w:rsidRPr="003E29C0">
        <w:rPr>
          <w:lang w:val="en-GB"/>
        </w:rPr>
        <w:t>1)(</w:t>
      </w:r>
      <w:proofErr w:type="gramEnd"/>
      <w:r w:rsidRPr="003E29C0">
        <w:rPr>
          <w:i/>
          <w:iCs/>
          <w:lang w:val="en-GB"/>
        </w:rPr>
        <w:t>s</w:t>
      </w:r>
      <w:r w:rsidR="007501F6" w:rsidRPr="003E29C0">
        <w:rPr>
          <w:lang w:val="en-GB"/>
        </w:rPr>
        <w:t>–</w:t>
      </w:r>
      <w:r w:rsidRPr="003E29C0">
        <w:rPr>
          <w:lang w:val="en-GB"/>
        </w:rPr>
        <w:t>1) degrees of</w:t>
      </w:r>
      <w:r w:rsidR="0020542A" w:rsidRPr="003E29C0">
        <w:rPr>
          <w:lang w:val="en-GB"/>
        </w:rPr>
        <w:t> </w:t>
      </w:r>
      <w:r w:rsidRPr="003E29C0">
        <w:rPr>
          <w:lang w:val="en-GB"/>
        </w:rPr>
        <w:t>freedom and Cramer</w:t>
      </w:r>
      <w:r w:rsidR="001418AA" w:rsidRPr="003E29C0">
        <w:rPr>
          <w:lang w:val="en-GB"/>
        </w:rPr>
        <w:t>’</w:t>
      </w:r>
      <w:r w:rsidRPr="003E29C0">
        <w:rPr>
          <w:lang w:val="en-GB"/>
        </w:rPr>
        <w:t xml:space="preserve">s </w:t>
      </w:r>
      <w:r w:rsidRPr="003E29C0">
        <w:rPr>
          <w:i/>
          <w:iCs/>
          <w:lang w:val="en-GB"/>
        </w:rPr>
        <w:t>V</w:t>
      </w:r>
      <w:r w:rsidRPr="003E29C0">
        <w:rPr>
          <w:lang w:val="en-GB"/>
        </w:rPr>
        <w:t xml:space="preserve"> at the </w:t>
      </w:r>
      <w:r w:rsidRPr="003E29C0">
        <w:rPr>
          <w:i/>
          <w:iCs/>
          <w:lang w:val="en-GB"/>
        </w:rPr>
        <w:t xml:space="preserve">α </w:t>
      </w:r>
      <w:r w:rsidRPr="003E29C0">
        <w:rPr>
          <w:lang w:val="en-GB"/>
        </w:rPr>
        <w:t>= 0.05 significance level were used to test the homogeneity and independence hypotheses. The IBM SPSS Statistics 28 statistical software was used to</w:t>
      </w:r>
      <w:r w:rsidR="0020542A" w:rsidRPr="003E29C0">
        <w:rPr>
          <w:lang w:val="en-GB"/>
        </w:rPr>
        <w:t> </w:t>
      </w:r>
      <w:r w:rsidRPr="003E29C0">
        <w:rPr>
          <w:lang w:val="en-GB"/>
        </w:rPr>
        <w:t>evaluate the results. The results can only be generalized for the research sample.</w:t>
      </w:r>
    </w:p>
    <w:p w14:paraId="213102AD" w14:textId="59BC8275" w:rsidR="00101D43" w:rsidRPr="003E29C0" w:rsidRDefault="00101D43" w:rsidP="009F7957">
      <w:pPr>
        <w:pStyle w:val="HED-heading1"/>
        <w:rPr>
          <w:lang w:val="en-GB"/>
        </w:rPr>
      </w:pPr>
      <w:r w:rsidRPr="003E29C0">
        <w:rPr>
          <w:lang w:val="en-GB"/>
        </w:rPr>
        <w:t>3. Results</w:t>
      </w:r>
    </w:p>
    <w:p w14:paraId="65C9DAF5" w14:textId="11E91498" w:rsidR="00A973DD" w:rsidRPr="003E29C0" w:rsidRDefault="00A973DD" w:rsidP="00A973DD">
      <w:pPr>
        <w:pStyle w:val="HED-text"/>
        <w:rPr>
          <w:lang w:val="en-GB"/>
        </w:rPr>
      </w:pPr>
      <w:r w:rsidRPr="003E29C0">
        <w:rPr>
          <w:lang w:val="en-GB"/>
        </w:rPr>
        <w:t>The questionnaire survey focused on the intergenerational cooperation among generations (X, Y, and Z) and age management in Czech companies (</w:t>
      </w:r>
      <w:r w:rsidRPr="003E29C0">
        <w:rPr>
          <w:i/>
          <w:iCs/>
          <w:lang w:val="en-GB"/>
        </w:rPr>
        <w:t>n</w:t>
      </w:r>
      <w:r w:rsidRPr="003E29C0">
        <w:rPr>
          <w:lang w:val="en-GB"/>
        </w:rPr>
        <w:t xml:space="preserve"> = 183). Age management is a management method with respect to the age of employees, taking into account their life stages and changing states (competenc</w:t>
      </w:r>
      <w:r w:rsidR="001418AA" w:rsidRPr="003E29C0">
        <w:rPr>
          <w:lang w:val="en-GB"/>
        </w:rPr>
        <w:t>i</w:t>
      </w:r>
      <w:r w:rsidRPr="003E29C0">
        <w:rPr>
          <w:lang w:val="en-GB"/>
        </w:rPr>
        <w:t>es, motivation, health, etc.).</w:t>
      </w:r>
    </w:p>
    <w:p w14:paraId="0CCC568C" w14:textId="61E638DA" w:rsidR="003E0881" w:rsidRDefault="00A973DD" w:rsidP="00A973DD">
      <w:pPr>
        <w:pStyle w:val="HED-text"/>
        <w:rPr>
          <w:lang w:val="en-GB"/>
        </w:rPr>
      </w:pPr>
      <w:r w:rsidRPr="003E29C0">
        <w:rPr>
          <w:lang w:val="en-GB"/>
        </w:rPr>
        <w:t xml:space="preserve">The overall majority of the surveyed organizations (55%) stated that they apply human resource management activities involving age diversity. </w:t>
      </w:r>
      <w:r w:rsidR="00D40F5B" w:rsidRPr="003E29C0">
        <w:rPr>
          <w:lang w:val="en-GB"/>
        </w:rPr>
        <w:t>Figure</w:t>
      </w:r>
      <w:r w:rsidRPr="003E29C0">
        <w:rPr>
          <w:lang w:val="en-GB"/>
        </w:rPr>
        <w:t xml:space="preserve"> 1 shows the data of age management application in the surveyed organizations with respect to the size of the organization by the number of employees.</w:t>
      </w:r>
    </w:p>
    <w:p w14:paraId="21C37181" w14:textId="63F080A1" w:rsidR="00101D43" w:rsidRPr="003E29C0" w:rsidRDefault="003E0881" w:rsidP="003E0881">
      <w:pPr>
        <w:spacing w:after="0" w:line="240" w:lineRule="auto"/>
        <w:rPr>
          <w:lang w:val="en-GB"/>
        </w:rPr>
      </w:pPr>
      <w:r>
        <w:rPr>
          <w:lang w:val="en-GB"/>
        </w:rPr>
        <w:br w:type="page"/>
      </w:r>
    </w:p>
    <w:p w14:paraId="1620DDF4" w14:textId="3796D38A" w:rsidR="00C24931" w:rsidRPr="003E29C0" w:rsidRDefault="00A973DD" w:rsidP="003E29C0">
      <w:pPr>
        <w:pStyle w:val="HED-figure"/>
        <w:rPr>
          <w:lang w:val="en-GB"/>
        </w:rPr>
      </w:pPr>
      <w:r w:rsidRPr="003E29C0">
        <w:rPr>
          <w:noProof/>
        </w:rPr>
        <w:lastRenderedPageBreak/>
        <w:drawing>
          <wp:inline distT="0" distB="0" distL="0" distR="0" wp14:anchorId="303E2070" wp14:editId="32AAD1E7">
            <wp:extent cx="4679950" cy="2120900"/>
            <wp:effectExtent l="0" t="0" r="6350" b="1270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EF89C0" w14:textId="2437DD11" w:rsidR="00C24931" w:rsidRPr="003E29C0" w:rsidRDefault="00C24931" w:rsidP="00C24931">
      <w:pPr>
        <w:pStyle w:val="HED-figurecaption"/>
        <w:rPr>
          <w:lang w:val="en-GB"/>
        </w:rPr>
      </w:pPr>
      <w:r w:rsidRPr="003E29C0">
        <w:rPr>
          <w:b/>
          <w:lang w:val="en-GB"/>
        </w:rPr>
        <w:t>Figure 1.</w:t>
      </w:r>
      <w:r w:rsidRPr="003E29C0">
        <w:rPr>
          <w:lang w:val="en-GB"/>
        </w:rPr>
        <w:t xml:space="preserve"> </w:t>
      </w:r>
      <w:r w:rsidR="007F5742" w:rsidRPr="003E29C0">
        <w:rPr>
          <w:lang w:val="en-GB"/>
        </w:rPr>
        <w:t>The application of age management and the company size (relative frequencies)</w:t>
      </w:r>
    </w:p>
    <w:p w14:paraId="4C5E93D1" w14:textId="02295199" w:rsidR="007F5742" w:rsidRPr="003E29C0" w:rsidRDefault="00D40F5B" w:rsidP="00CC76D5">
      <w:pPr>
        <w:pStyle w:val="HED-text"/>
        <w:rPr>
          <w:lang w:val="en-GB"/>
        </w:rPr>
      </w:pPr>
      <w:r w:rsidRPr="003E29C0">
        <w:rPr>
          <w:lang w:val="en-GB"/>
        </w:rPr>
        <w:t>Figure</w:t>
      </w:r>
      <w:r w:rsidR="007F5742" w:rsidRPr="003E29C0">
        <w:rPr>
          <w:lang w:val="en-GB"/>
        </w:rPr>
        <w:t xml:space="preserve"> 1 shows that age management is applied by 24% of the observed organizations employing more than 250 employees, by 18% of organizations with 51</w:t>
      </w:r>
      <w:r w:rsidRPr="003E29C0">
        <w:rPr>
          <w:lang w:val="en-GB"/>
        </w:rPr>
        <w:t>–</w:t>
      </w:r>
      <w:r w:rsidR="007F5742" w:rsidRPr="003E29C0">
        <w:rPr>
          <w:lang w:val="en-GB"/>
        </w:rPr>
        <w:t>249 employees</w:t>
      </w:r>
      <w:r w:rsidR="001418AA" w:rsidRPr="003E29C0">
        <w:rPr>
          <w:lang w:val="en-GB"/>
        </w:rPr>
        <w:t>,</w:t>
      </w:r>
      <w:r w:rsidR="007F5742" w:rsidRPr="003E29C0">
        <w:rPr>
          <w:lang w:val="en-GB"/>
        </w:rPr>
        <w:t xml:space="preserve"> and by only 13% of organizations with the lowest number of employees. Approximately 80%</w:t>
      </w:r>
      <w:r w:rsidR="006C33CB" w:rsidRPr="003E29C0">
        <w:rPr>
          <w:lang w:val="en-GB"/>
        </w:rPr>
        <w:t> </w:t>
      </w:r>
      <w:r w:rsidR="007F5742" w:rsidRPr="003E29C0">
        <w:rPr>
          <w:lang w:val="en-GB"/>
        </w:rPr>
        <w:t>of</w:t>
      </w:r>
      <w:r w:rsidR="006C33CB" w:rsidRPr="003E29C0">
        <w:rPr>
          <w:lang w:val="en-GB"/>
        </w:rPr>
        <w:t> </w:t>
      </w:r>
      <w:r w:rsidR="007F5742" w:rsidRPr="003E29C0">
        <w:rPr>
          <w:lang w:val="en-GB"/>
        </w:rPr>
        <w:t>these organizations also report having information on how the age composition of</w:t>
      </w:r>
      <w:r w:rsidR="006C33CB" w:rsidRPr="003E29C0">
        <w:rPr>
          <w:lang w:val="en-GB"/>
        </w:rPr>
        <w:t> </w:t>
      </w:r>
      <w:r w:rsidR="007F5742" w:rsidRPr="003E29C0">
        <w:rPr>
          <w:lang w:val="en-GB"/>
        </w:rPr>
        <w:t>their workforce is changing. On the other hand, the absolute majority of organizations report that they do not make plans for the age structure of their workforce within a period of</w:t>
      </w:r>
      <w:r w:rsidR="006C33CB" w:rsidRPr="003E29C0">
        <w:rPr>
          <w:lang w:val="en-GB"/>
        </w:rPr>
        <w:t> </w:t>
      </w:r>
      <w:r w:rsidR="007F5742" w:rsidRPr="003E29C0">
        <w:rPr>
          <w:lang w:val="en-GB"/>
        </w:rPr>
        <w:t>3 to 5</w:t>
      </w:r>
      <w:r w:rsidR="006C33CB" w:rsidRPr="003E29C0">
        <w:rPr>
          <w:lang w:val="en-GB"/>
        </w:rPr>
        <w:t> </w:t>
      </w:r>
      <w:r w:rsidR="007F5742" w:rsidRPr="003E29C0">
        <w:rPr>
          <w:lang w:val="en-GB"/>
        </w:rPr>
        <w:t>years and that there has been no difference in the department heads´ approach towards young or older employees in the last 12 months. It can be concluded from the above that the respondents answered the question regarding the implementation of age management in a r</w:t>
      </w:r>
      <w:r w:rsidR="001418AA" w:rsidRPr="003E29C0">
        <w:rPr>
          <w:lang w:val="en-GB"/>
        </w:rPr>
        <w:t>elatively</w:t>
      </w:r>
      <w:r w:rsidR="007F5742" w:rsidRPr="003E29C0">
        <w:rPr>
          <w:lang w:val="en-GB"/>
        </w:rPr>
        <w:t xml:space="preserve"> positive way, while they do not actively implement </w:t>
      </w:r>
      <w:r w:rsidR="00CF1BD5" w:rsidRPr="003E29C0">
        <w:rPr>
          <w:lang w:val="en-GB"/>
        </w:rPr>
        <w:t>crucial,</w:t>
      </w:r>
      <w:r w:rsidR="007F5742" w:rsidRPr="003E29C0">
        <w:rPr>
          <w:lang w:val="en-GB"/>
        </w:rPr>
        <w:t xml:space="preserve"> or core activities related to age management. The responsibility for acti</w:t>
      </w:r>
      <w:r w:rsidR="001418AA" w:rsidRPr="003E29C0">
        <w:rPr>
          <w:lang w:val="en-GB"/>
        </w:rPr>
        <w:t>on</w:t>
      </w:r>
      <w:r w:rsidR="007F5742" w:rsidRPr="003E29C0">
        <w:rPr>
          <w:lang w:val="en-GB"/>
        </w:rPr>
        <w:t>s related to human resources in the organizations lies with the human resources department itself in</w:t>
      </w:r>
      <w:r w:rsidR="006C33CB" w:rsidRPr="003E29C0">
        <w:rPr>
          <w:lang w:val="en-GB"/>
        </w:rPr>
        <w:t> </w:t>
      </w:r>
      <w:r w:rsidR="007F5742" w:rsidRPr="003E29C0">
        <w:rPr>
          <w:lang w:val="en-GB"/>
        </w:rPr>
        <w:t>69%</w:t>
      </w:r>
      <w:r w:rsidR="006C33CB" w:rsidRPr="003E29C0">
        <w:rPr>
          <w:lang w:val="en-GB"/>
        </w:rPr>
        <w:t> </w:t>
      </w:r>
      <w:r w:rsidR="007F5742" w:rsidRPr="003E29C0">
        <w:rPr>
          <w:lang w:val="en-GB"/>
        </w:rPr>
        <w:t>of</w:t>
      </w:r>
      <w:r w:rsidR="006C33CB" w:rsidRPr="003E29C0">
        <w:rPr>
          <w:lang w:val="en-GB"/>
        </w:rPr>
        <w:t> </w:t>
      </w:r>
      <w:r w:rsidR="007F5742" w:rsidRPr="003E29C0">
        <w:rPr>
          <w:lang w:val="en-GB"/>
        </w:rPr>
        <w:t>cases, middle and senior</w:t>
      </w:r>
      <w:r w:rsidR="001418AA" w:rsidRPr="003E29C0">
        <w:rPr>
          <w:lang w:val="en-GB"/>
        </w:rPr>
        <w:t>-</w:t>
      </w:r>
      <w:r w:rsidR="007F5742" w:rsidRPr="003E29C0">
        <w:rPr>
          <w:lang w:val="en-GB"/>
        </w:rPr>
        <w:t xml:space="preserve">level managers in 28% of </w:t>
      </w:r>
      <w:r w:rsidR="001418AA" w:rsidRPr="003E29C0">
        <w:rPr>
          <w:lang w:val="en-GB"/>
        </w:rPr>
        <w:t>patient</w:t>
      </w:r>
      <w:r w:rsidR="007F5742" w:rsidRPr="003E29C0">
        <w:rPr>
          <w:lang w:val="en-GB"/>
        </w:rPr>
        <w:t>s</w:t>
      </w:r>
      <w:r w:rsidR="001418AA" w:rsidRPr="003E29C0">
        <w:rPr>
          <w:lang w:val="en-GB"/>
        </w:rPr>
        <w:t>,</w:t>
      </w:r>
      <w:r w:rsidR="007F5742" w:rsidRPr="003E29C0">
        <w:rPr>
          <w:lang w:val="en-GB"/>
        </w:rPr>
        <w:t xml:space="preserve"> and line managers in 16%. Table 3 below shows the benefits that respondents perceive when speaking of collaboration among all generations of employees. The respondents could give more than one answer.</w:t>
      </w:r>
    </w:p>
    <w:p w14:paraId="49ACFE9A" w14:textId="0A1D5B89" w:rsidR="007F5742" w:rsidRPr="003E29C0" w:rsidRDefault="007F5742" w:rsidP="00CC76D5">
      <w:pPr>
        <w:pStyle w:val="HED-tablecaption"/>
      </w:pPr>
      <w:r w:rsidRPr="003E29C0">
        <w:rPr>
          <w:b/>
          <w:bCs/>
        </w:rPr>
        <w:t>Table 3.</w:t>
      </w:r>
      <w:r w:rsidRPr="003E29C0">
        <w:t xml:space="preserve"> The benefits of all generations of employees (i.e., students, experienced employees, seniors, etc.) collaborating – relative frequencies</w:t>
      </w:r>
    </w:p>
    <w:tbl>
      <w:tblPr>
        <w:tblStyle w:val="Mkatabulky"/>
        <w:tblW w:w="7366" w:type="dxa"/>
        <w:jc w:val="center"/>
        <w:tblLook w:val="04A0" w:firstRow="1" w:lastRow="0" w:firstColumn="1" w:lastColumn="0" w:noHBand="0" w:noVBand="1"/>
      </w:tblPr>
      <w:tblGrid>
        <w:gridCol w:w="5081"/>
        <w:gridCol w:w="2285"/>
      </w:tblGrid>
      <w:tr w:rsidR="00FC7B3E" w:rsidRPr="003E29C0" w14:paraId="1A491607" w14:textId="77777777" w:rsidTr="003D5B9E">
        <w:trPr>
          <w:trHeight w:val="276"/>
          <w:jc w:val="center"/>
        </w:trPr>
        <w:tc>
          <w:tcPr>
            <w:tcW w:w="5081" w:type="dxa"/>
            <w:vAlign w:val="center"/>
          </w:tcPr>
          <w:p w14:paraId="27172C49" w14:textId="77777777" w:rsidR="007F5742" w:rsidRPr="00FC7B3E" w:rsidRDefault="007F5742" w:rsidP="007F5742">
            <w:pPr>
              <w:pStyle w:val="HED-tablebody"/>
              <w:rPr>
                <w:b/>
                <w:bCs/>
                <w:lang w:val="en-GB"/>
              </w:rPr>
            </w:pPr>
            <w:r w:rsidRPr="00FC7B3E">
              <w:rPr>
                <w:b/>
                <w:bCs/>
                <w:lang w:val="en-GB"/>
              </w:rPr>
              <w:t>The benefits of all generations of employees collaborating</w:t>
            </w:r>
          </w:p>
        </w:tc>
        <w:tc>
          <w:tcPr>
            <w:tcW w:w="2285" w:type="dxa"/>
            <w:vAlign w:val="center"/>
          </w:tcPr>
          <w:p w14:paraId="3F0ABEDE" w14:textId="77777777" w:rsidR="007F5742" w:rsidRPr="00FC7B3E" w:rsidRDefault="007F5742" w:rsidP="007F5742">
            <w:pPr>
              <w:pStyle w:val="HED-tablebody"/>
              <w:rPr>
                <w:b/>
                <w:bCs/>
                <w:lang w:val="en-GB"/>
              </w:rPr>
            </w:pPr>
            <w:r w:rsidRPr="00FC7B3E">
              <w:rPr>
                <w:b/>
                <w:bCs/>
                <w:lang w:val="en-GB"/>
              </w:rPr>
              <w:t xml:space="preserve">Relative frequencies </w:t>
            </w:r>
            <w:r w:rsidRPr="00FC7B3E">
              <w:rPr>
                <w:b/>
                <w:bCs/>
                <w:i/>
                <w:iCs/>
                <w:lang w:val="en-GB"/>
              </w:rPr>
              <w:t>p</w:t>
            </w:r>
            <w:r w:rsidRPr="00FC7B3E">
              <w:rPr>
                <w:b/>
                <w:bCs/>
                <w:i/>
                <w:iCs/>
                <w:vertAlign w:val="subscript"/>
                <w:lang w:val="en-GB"/>
              </w:rPr>
              <w:t>i</w:t>
            </w:r>
          </w:p>
        </w:tc>
      </w:tr>
      <w:tr w:rsidR="00FC7B3E" w:rsidRPr="003E29C0" w14:paraId="709B22E8" w14:textId="77777777" w:rsidTr="003D5B9E">
        <w:trPr>
          <w:trHeight w:val="238"/>
          <w:jc w:val="center"/>
        </w:trPr>
        <w:tc>
          <w:tcPr>
            <w:tcW w:w="0" w:type="auto"/>
          </w:tcPr>
          <w:p w14:paraId="00DEDA0C" w14:textId="77777777" w:rsidR="007F5742" w:rsidRPr="003E29C0" w:rsidRDefault="007F5742" w:rsidP="007F5742">
            <w:pPr>
              <w:pStyle w:val="HED-tablebody"/>
              <w:rPr>
                <w:lang w:val="en-GB"/>
              </w:rPr>
            </w:pPr>
            <w:r w:rsidRPr="003E29C0">
              <w:rPr>
                <w:lang w:val="en-GB"/>
              </w:rPr>
              <w:t>Improving motivation and performance</w:t>
            </w:r>
          </w:p>
        </w:tc>
        <w:tc>
          <w:tcPr>
            <w:tcW w:w="2285" w:type="dxa"/>
          </w:tcPr>
          <w:p w14:paraId="005FA720" w14:textId="77777777" w:rsidR="007F5742" w:rsidRPr="003E29C0" w:rsidRDefault="007F5742" w:rsidP="003E29C0">
            <w:pPr>
              <w:pStyle w:val="HED-tablebody"/>
              <w:jc w:val="right"/>
              <w:rPr>
                <w:lang w:val="en-GB"/>
              </w:rPr>
            </w:pPr>
            <w:r w:rsidRPr="003E29C0">
              <w:rPr>
                <w:lang w:val="en-GB"/>
              </w:rPr>
              <w:t>67.8%</w:t>
            </w:r>
          </w:p>
        </w:tc>
      </w:tr>
      <w:tr w:rsidR="00FC7B3E" w:rsidRPr="003E29C0" w14:paraId="0D20DB75" w14:textId="77777777" w:rsidTr="003D5B9E">
        <w:trPr>
          <w:trHeight w:val="238"/>
          <w:jc w:val="center"/>
        </w:trPr>
        <w:tc>
          <w:tcPr>
            <w:tcW w:w="0" w:type="auto"/>
          </w:tcPr>
          <w:p w14:paraId="0A971109" w14:textId="77777777" w:rsidR="007F5742" w:rsidRPr="003E29C0" w:rsidRDefault="007F5742" w:rsidP="007F5742">
            <w:pPr>
              <w:pStyle w:val="HED-tablebody"/>
              <w:rPr>
                <w:lang w:val="en-GB"/>
              </w:rPr>
            </w:pPr>
            <w:r w:rsidRPr="003E29C0">
              <w:rPr>
                <w:lang w:val="en-GB"/>
              </w:rPr>
              <w:t>Improving organizational performance</w:t>
            </w:r>
          </w:p>
        </w:tc>
        <w:tc>
          <w:tcPr>
            <w:tcW w:w="2285" w:type="dxa"/>
          </w:tcPr>
          <w:p w14:paraId="60753FE3" w14:textId="77777777" w:rsidR="007F5742" w:rsidRPr="003E29C0" w:rsidRDefault="007F5742" w:rsidP="003E29C0">
            <w:pPr>
              <w:pStyle w:val="HED-tablebody"/>
              <w:jc w:val="right"/>
              <w:rPr>
                <w:lang w:val="en-GB"/>
              </w:rPr>
            </w:pPr>
            <w:r w:rsidRPr="003E29C0">
              <w:rPr>
                <w:lang w:val="en-GB"/>
              </w:rPr>
              <w:t>58.5%</w:t>
            </w:r>
          </w:p>
        </w:tc>
      </w:tr>
      <w:tr w:rsidR="00FC7B3E" w:rsidRPr="003E29C0" w14:paraId="292948E4" w14:textId="77777777" w:rsidTr="003D5B9E">
        <w:trPr>
          <w:trHeight w:val="119"/>
          <w:jc w:val="center"/>
        </w:trPr>
        <w:tc>
          <w:tcPr>
            <w:tcW w:w="0" w:type="auto"/>
            <w:hideMark/>
          </w:tcPr>
          <w:p w14:paraId="408FD1E0" w14:textId="77777777" w:rsidR="007F5742" w:rsidRPr="003E29C0" w:rsidRDefault="007F5742" w:rsidP="007F5742">
            <w:pPr>
              <w:pStyle w:val="HED-tablebody"/>
              <w:rPr>
                <w:lang w:val="en-GB"/>
              </w:rPr>
            </w:pPr>
            <w:r w:rsidRPr="003E29C0">
              <w:rPr>
                <w:lang w:val="en-GB"/>
              </w:rPr>
              <w:t>Acquiring talented employees</w:t>
            </w:r>
          </w:p>
        </w:tc>
        <w:tc>
          <w:tcPr>
            <w:tcW w:w="2285" w:type="dxa"/>
          </w:tcPr>
          <w:p w14:paraId="687344F5" w14:textId="77777777" w:rsidR="007F5742" w:rsidRPr="003E29C0" w:rsidRDefault="007F5742" w:rsidP="003E29C0">
            <w:pPr>
              <w:pStyle w:val="HED-tablebody"/>
              <w:jc w:val="right"/>
              <w:rPr>
                <w:lang w:val="en-GB"/>
              </w:rPr>
            </w:pPr>
            <w:r w:rsidRPr="003E29C0">
              <w:rPr>
                <w:lang w:val="en-GB"/>
              </w:rPr>
              <w:t>56.3%</w:t>
            </w:r>
          </w:p>
        </w:tc>
      </w:tr>
      <w:tr w:rsidR="00FC7B3E" w:rsidRPr="003E29C0" w14:paraId="71E53EC4" w14:textId="77777777" w:rsidTr="003D5B9E">
        <w:trPr>
          <w:trHeight w:val="118"/>
          <w:jc w:val="center"/>
        </w:trPr>
        <w:tc>
          <w:tcPr>
            <w:tcW w:w="0" w:type="auto"/>
          </w:tcPr>
          <w:p w14:paraId="2FDE1D29" w14:textId="77777777" w:rsidR="007F5742" w:rsidRPr="003E29C0" w:rsidRDefault="007F5742" w:rsidP="007F5742">
            <w:pPr>
              <w:pStyle w:val="HED-tablebody"/>
              <w:rPr>
                <w:lang w:val="en-GB"/>
              </w:rPr>
            </w:pPr>
            <w:r w:rsidRPr="003E29C0">
              <w:rPr>
                <w:lang w:val="en-GB"/>
              </w:rPr>
              <w:t>Retaining key employees</w:t>
            </w:r>
          </w:p>
        </w:tc>
        <w:tc>
          <w:tcPr>
            <w:tcW w:w="2285" w:type="dxa"/>
          </w:tcPr>
          <w:p w14:paraId="7711688F" w14:textId="77777777" w:rsidR="007F5742" w:rsidRPr="003E29C0" w:rsidRDefault="007F5742" w:rsidP="003E29C0">
            <w:pPr>
              <w:pStyle w:val="HED-tablebody"/>
              <w:jc w:val="right"/>
              <w:rPr>
                <w:lang w:val="en-GB"/>
              </w:rPr>
            </w:pPr>
            <w:r w:rsidRPr="003E29C0">
              <w:rPr>
                <w:lang w:val="en-GB"/>
              </w:rPr>
              <w:t>54.6%</w:t>
            </w:r>
          </w:p>
        </w:tc>
      </w:tr>
      <w:tr w:rsidR="00FC7B3E" w:rsidRPr="003E29C0" w14:paraId="6FF27D55" w14:textId="77777777" w:rsidTr="003D5B9E">
        <w:trPr>
          <w:trHeight w:val="118"/>
          <w:jc w:val="center"/>
        </w:trPr>
        <w:tc>
          <w:tcPr>
            <w:tcW w:w="0" w:type="auto"/>
            <w:hideMark/>
          </w:tcPr>
          <w:p w14:paraId="02A5D91F" w14:textId="77777777" w:rsidR="007F5742" w:rsidRPr="003E29C0" w:rsidRDefault="007F5742" w:rsidP="007F5742">
            <w:pPr>
              <w:pStyle w:val="HED-tablebody"/>
              <w:rPr>
                <w:lang w:val="en-GB"/>
              </w:rPr>
            </w:pPr>
            <w:r w:rsidRPr="003E29C0">
              <w:rPr>
                <w:lang w:val="en-GB"/>
              </w:rPr>
              <w:t>Improving organizational culture</w:t>
            </w:r>
          </w:p>
        </w:tc>
        <w:tc>
          <w:tcPr>
            <w:tcW w:w="2285" w:type="dxa"/>
          </w:tcPr>
          <w:p w14:paraId="2F872DBD" w14:textId="77777777" w:rsidR="007F5742" w:rsidRPr="003E29C0" w:rsidRDefault="007F5742" w:rsidP="003E29C0">
            <w:pPr>
              <w:pStyle w:val="HED-tablebody"/>
              <w:jc w:val="right"/>
              <w:rPr>
                <w:lang w:val="en-GB"/>
              </w:rPr>
            </w:pPr>
            <w:r w:rsidRPr="003E29C0">
              <w:rPr>
                <w:lang w:val="en-GB"/>
              </w:rPr>
              <w:t>53.6%</w:t>
            </w:r>
          </w:p>
        </w:tc>
      </w:tr>
      <w:tr w:rsidR="00FC7B3E" w:rsidRPr="003E29C0" w14:paraId="5DA8AD6E" w14:textId="77777777" w:rsidTr="003D5B9E">
        <w:trPr>
          <w:trHeight w:val="117"/>
          <w:jc w:val="center"/>
        </w:trPr>
        <w:tc>
          <w:tcPr>
            <w:tcW w:w="0" w:type="auto"/>
          </w:tcPr>
          <w:p w14:paraId="44BF1645" w14:textId="77777777" w:rsidR="007F5742" w:rsidRPr="003E29C0" w:rsidRDefault="007F5742" w:rsidP="007F5742">
            <w:pPr>
              <w:pStyle w:val="HED-tablebody"/>
              <w:rPr>
                <w:lang w:val="en-GB"/>
              </w:rPr>
            </w:pPr>
            <w:r w:rsidRPr="003E29C0">
              <w:rPr>
                <w:lang w:val="en-GB"/>
              </w:rPr>
              <w:t>Improving organizational climate</w:t>
            </w:r>
          </w:p>
        </w:tc>
        <w:tc>
          <w:tcPr>
            <w:tcW w:w="2285" w:type="dxa"/>
          </w:tcPr>
          <w:p w14:paraId="71C64096" w14:textId="77777777" w:rsidR="007F5742" w:rsidRPr="003E29C0" w:rsidRDefault="007F5742" w:rsidP="003E29C0">
            <w:pPr>
              <w:pStyle w:val="HED-tablebody"/>
              <w:jc w:val="right"/>
              <w:rPr>
                <w:lang w:val="en-GB"/>
              </w:rPr>
            </w:pPr>
            <w:r w:rsidRPr="003E29C0">
              <w:rPr>
                <w:lang w:val="en-GB"/>
              </w:rPr>
              <w:t>47.5%</w:t>
            </w:r>
          </w:p>
        </w:tc>
      </w:tr>
      <w:tr w:rsidR="00FC7B3E" w:rsidRPr="003E29C0" w14:paraId="49D350F8" w14:textId="77777777" w:rsidTr="003D5B9E">
        <w:trPr>
          <w:trHeight w:val="117"/>
          <w:jc w:val="center"/>
        </w:trPr>
        <w:tc>
          <w:tcPr>
            <w:tcW w:w="0" w:type="auto"/>
            <w:hideMark/>
          </w:tcPr>
          <w:p w14:paraId="2B124761" w14:textId="77777777" w:rsidR="007F5742" w:rsidRPr="003E29C0" w:rsidRDefault="007F5742" w:rsidP="007F5742">
            <w:pPr>
              <w:pStyle w:val="HED-tablebody"/>
              <w:rPr>
                <w:lang w:val="en-GB"/>
              </w:rPr>
            </w:pPr>
            <w:r w:rsidRPr="003E29C0">
              <w:rPr>
                <w:lang w:val="en-GB"/>
              </w:rPr>
              <w:t>Building an employer brand</w:t>
            </w:r>
          </w:p>
        </w:tc>
        <w:tc>
          <w:tcPr>
            <w:tcW w:w="2285" w:type="dxa"/>
          </w:tcPr>
          <w:p w14:paraId="774915B9" w14:textId="77777777" w:rsidR="007F5742" w:rsidRPr="003E29C0" w:rsidRDefault="007F5742" w:rsidP="003E29C0">
            <w:pPr>
              <w:pStyle w:val="HED-tablebody"/>
              <w:jc w:val="right"/>
              <w:rPr>
                <w:lang w:val="en-GB"/>
              </w:rPr>
            </w:pPr>
            <w:r w:rsidRPr="003E29C0">
              <w:rPr>
                <w:lang w:val="en-GB"/>
              </w:rPr>
              <w:t>32.2%</w:t>
            </w:r>
          </w:p>
        </w:tc>
      </w:tr>
      <w:tr w:rsidR="00FC7B3E" w:rsidRPr="003E29C0" w14:paraId="2531F7FF" w14:textId="77777777" w:rsidTr="003D5B9E">
        <w:trPr>
          <w:trHeight w:val="113"/>
          <w:jc w:val="center"/>
        </w:trPr>
        <w:tc>
          <w:tcPr>
            <w:tcW w:w="0" w:type="auto"/>
            <w:hideMark/>
          </w:tcPr>
          <w:p w14:paraId="4AD61030" w14:textId="77777777" w:rsidR="007F5742" w:rsidRPr="003E29C0" w:rsidRDefault="007F5742" w:rsidP="007F5742">
            <w:pPr>
              <w:pStyle w:val="HED-tablebody"/>
              <w:rPr>
                <w:lang w:val="en-GB"/>
              </w:rPr>
            </w:pPr>
            <w:r w:rsidRPr="003E29C0">
              <w:rPr>
                <w:lang w:val="en-GB"/>
              </w:rPr>
              <w:t>Gaining a competitive advantage</w:t>
            </w:r>
          </w:p>
        </w:tc>
        <w:tc>
          <w:tcPr>
            <w:tcW w:w="2285" w:type="dxa"/>
          </w:tcPr>
          <w:p w14:paraId="1137CFF7" w14:textId="77777777" w:rsidR="007F5742" w:rsidRPr="003E29C0" w:rsidRDefault="007F5742" w:rsidP="003E29C0">
            <w:pPr>
              <w:pStyle w:val="HED-tablebody"/>
              <w:jc w:val="right"/>
              <w:rPr>
                <w:lang w:val="en-GB"/>
              </w:rPr>
            </w:pPr>
            <w:r w:rsidRPr="003E29C0">
              <w:rPr>
                <w:lang w:val="en-GB"/>
              </w:rPr>
              <w:t>32.2%</w:t>
            </w:r>
          </w:p>
        </w:tc>
      </w:tr>
      <w:tr w:rsidR="00FC7B3E" w:rsidRPr="003E29C0" w14:paraId="73A8DBF1" w14:textId="77777777" w:rsidTr="003D5B9E">
        <w:trPr>
          <w:trHeight w:val="120"/>
          <w:jc w:val="center"/>
        </w:trPr>
        <w:tc>
          <w:tcPr>
            <w:tcW w:w="0" w:type="auto"/>
            <w:hideMark/>
          </w:tcPr>
          <w:p w14:paraId="0903AD22" w14:textId="77777777" w:rsidR="007F5742" w:rsidRPr="003E29C0" w:rsidRDefault="007F5742" w:rsidP="007F5742">
            <w:pPr>
              <w:pStyle w:val="HED-tablebody"/>
              <w:rPr>
                <w:lang w:val="en-GB"/>
              </w:rPr>
            </w:pPr>
            <w:r w:rsidRPr="003E29C0">
              <w:rPr>
                <w:lang w:val="en-GB"/>
              </w:rPr>
              <w:t>Improving crisis management</w:t>
            </w:r>
          </w:p>
        </w:tc>
        <w:tc>
          <w:tcPr>
            <w:tcW w:w="2285" w:type="dxa"/>
          </w:tcPr>
          <w:p w14:paraId="6D15AD5E" w14:textId="77777777" w:rsidR="007F5742" w:rsidRPr="003E29C0" w:rsidRDefault="007F5742" w:rsidP="003E29C0">
            <w:pPr>
              <w:pStyle w:val="HED-tablebody"/>
              <w:jc w:val="right"/>
              <w:rPr>
                <w:lang w:val="en-GB"/>
              </w:rPr>
            </w:pPr>
            <w:r w:rsidRPr="003E29C0">
              <w:rPr>
                <w:lang w:val="en-GB"/>
              </w:rPr>
              <w:t>20.8%</w:t>
            </w:r>
          </w:p>
        </w:tc>
      </w:tr>
      <w:tr w:rsidR="00FC7B3E" w:rsidRPr="003E29C0" w14:paraId="3C73F3B6" w14:textId="77777777" w:rsidTr="003D5B9E">
        <w:trPr>
          <w:trHeight w:val="110"/>
          <w:jc w:val="center"/>
        </w:trPr>
        <w:tc>
          <w:tcPr>
            <w:tcW w:w="0" w:type="auto"/>
          </w:tcPr>
          <w:p w14:paraId="300AA2DD" w14:textId="77777777" w:rsidR="007F5742" w:rsidRPr="003E29C0" w:rsidRDefault="007F5742" w:rsidP="007F5742">
            <w:pPr>
              <w:pStyle w:val="HED-tablebody"/>
              <w:rPr>
                <w:lang w:val="en-GB"/>
              </w:rPr>
            </w:pPr>
            <w:r w:rsidRPr="003E29C0">
              <w:rPr>
                <w:lang w:val="en-GB"/>
              </w:rPr>
              <w:t>Improving the prestige of the organization</w:t>
            </w:r>
          </w:p>
        </w:tc>
        <w:tc>
          <w:tcPr>
            <w:tcW w:w="2285" w:type="dxa"/>
          </w:tcPr>
          <w:p w14:paraId="2316CAEF" w14:textId="77777777" w:rsidR="007F5742" w:rsidRPr="003E29C0" w:rsidRDefault="007F5742" w:rsidP="003E29C0">
            <w:pPr>
              <w:pStyle w:val="HED-tablebody"/>
              <w:jc w:val="right"/>
              <w:rPr>
                <w:lang w:val="en-GB"/>
              </w:rPr>
            </w:pPr>
            <w:r w:rsidRPr="003E29C0">
              <w:rPr>
                <w:lang w:val="en-GB"/>
              </w:rPr>
              <w:t>16.9%</w:t>
            </w:r>
          </w:p>
        </w:tc>
      </w:tr>
      <w:tr w:rsidR="00FC7B3E" w:rsidRPr="003E29C0" w14:paraId="4C2FF766" w14:textId="77777777" w:rsidTr="003D5B9E">
        <w:trPr>
          <w:trHeight w:val="110"/>
          <w:jc w:val="center"/>
        </w:trPr>
        <w:tc>
          <w:tcPr>
            <w:tcW w:w="0" w:type="auto"/>
            <w:hideMark/>
          </w:tcPr>
          <w:p w14:paraId="4759727F" w14:textId="0BB18A92" w:rsidR="007F5742" w:rsidRPr="003E29C0" w:rsidRDefault="007F5742" w:rsidP="007F5742">
            <w:pPr>
              <w:pStyle w:val="HED-tablebody"/>
              <w:rPr>
                <w:lang w:val="en-GB"/>
              </w:rPr>
            </w:pPr>
            <w:r w:rsidRPr="003E29C0">
              <w:rPr>
                <w:lang w:val="en-GB"/>
              </w:rPr>
              <w:t>I don</w:t>
            </w:r>
            <w:r w:rsidR="001418AA" w:rsidRPr="003E29C0">
              <w:rPr>
                <w:lang w:val="en-GB"/>
              </w:rPr>
              <w:t>’</w:t>
            </w:r>
            <w:r w:rsidRPr="003E29C0">
              <w:rPr>
                <w:lang w:val="en-GB"/>
              </w:rPr>
              <w:t>t see any benefits.</w:t>
            </w:r>
          </w:p>
        </w:tc>
        <w:tc>
          <w:tcPr>
            <w:tcW w:w="2285" w:type="dxa"/>
          </w:tcPr>
          <w:p w14:paraId="4D8A42C2" w14:textId="77777777" w:rsidR="007F5742" w:rsidRPr="003E29C0" w:rsidRDefault="007F5742" w:rsidP="003E29C0">
            <w:pPr>
              <w:pStyle w:val="HED-tablebody"/>
              <w:jc w:val="right"/>
              <w:rPr>
                <w:lang w:val="en-GB"/>
              </w:rPr>
            </w:pPr>
            <w:r w:rsidRPr="003E29C0">
              <w:rPr>
                <w:lang w:val="en-GB"/>
              </w:rPr>
              <w:t>1.1%</w:t>
            </w:r>
          </w:p>
        </w:tc>
      </w:tr>
    </w:tbl>
    <w:p w14:paraId="668DCB69" w14:textId="77777777" w:rsidR="00FD4CFC" w:rsidRPr="003E29C0" w:rsidRDefault="00FD4CFC" w:rsidP="00C24931">
      <w:pPr>
        <w:pStyle w:val="HED-text"/>
        <w:rPr>
          <w:lang w:val="en-GB"/>
        </w:rPr>
      </w:pPr>
    </w:p>
    <w:p w14:paraId="4CB0F871" w14:textId="1513EECC" w:rsidR="007F5742" w:rsidRPr="003E29C0" w:rsidRDefault="007F5742" w:rsidP="008E204D">
      <w:pPr>
        <w:pStyle w:val="HED-text"/>
        <w:rPr>
          <w:lang w:val="en-GB"/>
        </w:rPr>
      </w:pPr>
      <w:r w:rsidRPr="003E29C0">
        <w:rPr>
          <w:lang w:val="en-GB"/>
        </w:rPr>
        <w:lastRenderedPageBreak/>
        <w:t>As can be seen from Table 3 above, the organizations see the benefits primarily in the context of increasing motivation and organizational performance, recruiting talented employees</w:t>
      </w:r>
      <w:r w:rsidR="001418AA" w:rsidRPr="003E29C0">
        <w:rPr>
          <w:lang w:val="en-GB"/>
        </w:rPr>
        <w:t>,</w:t>
      </w:r>
      <w:r w:rsidRPr="003E29C0">
        <w:rPr>
          <w:lang w:val="en-GB"/>
        </w:rPr>
        <w:t xml:space="preserve"> and, last but not least, retaining key personnel. Table 4 shows the reasons for not applying age management. Again, the respondents were </w:t>
      </w:r>
      <w:r w:rsidR="001418AA" w:rsidRPr="003E29C0">
        <w:rPr>
          <w:lang w:val="en-GB"/>
        </w:rPr>
        <w:t>allowed</w:t>
      </w:r>
      <w:r w:rsidRPr="003E29C0">
        <w:rPr>
          <w:lang w:val="en-GB"/>
        </w:rPr>
        <w:t xml:space="preserve"> to submit more than one answer.</w:t>
      </w:r>
    </w:p>
    <w:p w14:paraId="6F3916F8" w14:textId="66DF3691" w:rsidR="007F5742" w:rsidRPr="003E29C0" w:rsidRDefault="007F5742" w:rsidP="008E204D">
      <w:pPr>
        <w:pStyle w:val="HED-tablecaption"/>
      </w:pPr>
      <w:r w:rsidRPr="003E29C0">
        <w:rPr>
          <w:b/>
          <w:bCs/>
        </w:rPr>
        <w:t>Table 4.</w:t>
      </w:r>
      <w:r w:rsidRPr="003E29C0">
        <w:t xml:space="preserve"> The reasons for not applying age management – relative frequencies</w:t>
      </w:r>
    </w:p>
    <w:tbl>
      <w:tblPr>
        <w:tblStyle w:val="Mkatabulky"/>
        <w:tblW w:w="0" w:type="auto"/>
        <w:tblLook w:val="04A0" w:firstRow="1" w:lastRow="0" w:firstColumn="1" w:lastColumn="0" w:noHBand="0" w:noVBand="1"/>
      </w:tblPr>
      <w:tblGrid>
        <w:gridCol w:w="6130"/>
        <w:gridCol w:w="2081"/>
      </w:tblGrid>
      <w:tr w:rsidR="007F5742" w:rsidRPr="003E29C0" w14:paraId="1A362AF1" w14:textId="77777777" w:rsidTr="00DA22F2">
        <w:trPr>
          <w:trHeight w:val="249"/>
        </w:trPr>
        <w:tc>
          <w:tcPr>
            <w:tcW w:w="0" w:type="auto"/>
            <w:vAlign w:val="center"/>
          </w:tcPr>
          <w:p w14:paraId="7C3314E3" w14:textId="77777777" w:rsidR="007F5742" w:rsidRPr="00FC7B3E" w:rsidRDefault="007F5742" w:rsidP="007F5742">
            <w:pPr>
              <w:pStyle w:val="HED-tablebody"/>
              <w:rPr>
                <w:b/>
                <w:bCs/>
                <w:lang w:val="en-GB"/>
              </w:rPr>
            </w:pPr>
            <w:r w:rsidRPr="00FC7B3E">
              <w:rPr>
                <w:b/>
                <w:bCs/>
                <w:lang w:val="en-GB"/>
              </w:rPr>
              <w:t>The reasons for not applying age management</w:t>
            </w:r>
          </w:p>
        </w:tc>
        <w:tc>
          <w:tcPr>
            <w:tcW w:w="0" w:type="auto"/>
            <w:vAlign w:val="center"/>
          </w:tcPr>
          <w:p w14:paraId="4EB53EC7" w14:textId="77777777" w:rsidR="007F5742" w:rsidRPr="00FC7B3E" w:rsidRDefault="007F5742" w:rsidP="007F5742">
            <w:pPr>
              <w:pStyle w:val="HED-tablebody"/>
              <w:rPr>
                <w:b/>
                <w:bCs/>
                <w:lang w:val="en-GB"/>
              </w:rPr>
            </w:pPr>
            <w:r w:rsidRPr="00FC7B3E">
              <w:rPr>
                <w:b/>
                <w:bCs/>
                <w:lang w:val="en-GB"/>
              </w:rPr>
              <w:t xml:space="preserve">Relative frequencies </w:t>
            </w:r>
            <w:r w:rsidRPr="00FC7B3E">
              <w:rPr>
                <w:b/>
                <w:bCs/>
                <w:i/>
                <w:lang w:val="en-GB"/>
              </w:rPr>
              <w:t>p</w:t>
            </w:r>
            <w:r w:rsidRPr="00FC7B3E">
              <w:rPr>
                <w:b/>
                <w:bCs/>
                <w:i/>
                <w:vertAlign w:val="subscript"/>
                <w:lang w:val="en-GB"/>
              </w:rPr>
              <w:t>i</w:t>
            </w:r>
          </w:p>
        </w:tc>
      </w:tr>
      <w:tr w:rsidR="007F5742" w:rsidRPr="003E29C0" w14:paraId="5DCEB2CC" w14:textId="77777777" w:rsidTr="00DA22F2">
        <w:trPr>
          <w:trHeight w:val="311"/>
        </w:trPr>
        <w:tc>
          <w:tcPr>
            <w:tcW w:w="0" w:type="auto"/>
          </w:tcPr>
          <w:p w14:paraId="2B1A2071" w14:textId="2972CED3" w:rsidR="007F5742" w:rsidRPr="003E29C0" w:rsidRDefault="001418AA" w:rsidP="00FC7B3E">
            <w:pPr>
              <w:pStyle w:val="HED-tablebody"/>
              <w:jc w:val="left"/>
              <w:rPr>
                <w:lang w:val="en-GB"/>
              </w:rPr>
            </w:pPr>
            <w:r w:rsidRPr="003E29C0">
              <w:rPr>
                <w:lang w:val="en-GB"/>
              </w:rPr>
              <w:t>Managing</w:t>
            </w:r>
            <w:r w:rsidR="007F5742" w:rsidRPr="003E29C0">
              <w:rPr>
                <w:lang w:val="en-GB"/>
              </w:rPr>
              <w:t xml:space="preserve"> age-diverse teams in the workplace is challenging for managers</w:t>
            </w:r>
          </w:p>
        </w:tc>
        <w:tc>
          <w:tcPr>
            <w:tcW w:w="0" w:type="auto"/>
          </w:tcPr>
          <w:p w14:paraId="245B4E11" w14:textId="77777777" w:rsidR="007F5742" w:rsidRPr="003E29C0" w:rsidRDefault="007F5742" w:rsidP="003E29C0">
            <w:pPr>
              <w:pStyle w:val="HED-tablebody"/>
              <w:jc w:val="right"/>
              <w:rPr>
                <w:lang w:val="en-GB"/>
              </w:rPr>
            </w:pPr>
            <w:r w:rsidRPr="003E29C0">
              <w:rPr>
                <w:lang w:val="en-GB"/>
              </w:rPr>
              <w:t>32.8%</w:t>
            </w:r>
          </w:p>
        </w:tc>
      </w:tr>
      <w:tr w:rsidR="007F5742" w:rsidRPr="003E29C0" w14:paraId="3FBB7EBD" w14:textId="77777777" w:rsidTr="00DA22F2">
        <w:trPr>
          <w:trHeight w:val="274"/>
        </w:trPr>
        <w:tc>
          <w:tcPr>
            <w:tcW w:w="0" w:type="auto"/>
          </w:tcPr>
          <w:p w14:paraId="5DAE2708" w14:textId="63E6D47E" w:rsidR="007F5742" w:rsidRPr="003E29C0" w:rsidRDefault="007F5742" w:rsidP="00FC7B3E">
            <w:pPr>
              <w:pStyle w:val="HED-tablebody"/>
              <w:jc w:val="left"/>
              <w:rPr>
                <w:lang w:val="en-GB"/>
              </w:rPr>
            </w:pPr>
            <w:r w:rsidRPr="003E29C0">
              <w:rPr>
                <w:lang w:val="en-GB"/>
              </w:rPr>
              <w:t>Work schedules place greater demands on communication</w:t>
            </w:r>
          </w:p>
        </w:tc>
        <w:tc>
          <w:tcPr>
            <w:tcW w:w="0" w:type="auto"/>
          </w:tcPr>
          <w:p w14:paraId="7D1C3F76" w14:textId="77777777" w:rsidR="007F5742" w:rsidRPr="003E29C0" w:rsidRDefault="007F5742" w:rsidP="003E29C0">
            <w:pPr>
              <w:pStyle w:val="HED-tablebody"/>
              <w:jc w:val="right"/>
              <w:rPr>
                <w:lang w:val="en-GB"/>
              </w:rPr>
            </w:pPr>
            <w:r w:rsidRPr="003E29C0">
              <w:rPr>
                <w:lang w:val="en-GB"/>
              </w:rPr>
              <w:t>32.2%</w:t>
            </w:r>
          </w:p>
        </w:tc>
      </w:tr>
      <w:tr w:rsidR="007F5742" w:rsidRPr="003E29C0" w14:paraId="7728BB87" w14:textId="77777777" w:rsidTr="00DA22F2">
        <w:trPr>
          <w:trHeight w:val="249"/>
        </w:trPr>
        <w:tc>
          <w:tcPr>
            <w:tcW w:w="0" w:type="auto"/>
          </w:tcPr>
          <w:p w14:paraId="16F9EFA8" w14:textId="60136A6D" w:rsidR="007F5742" w:rsidRPr="003E29C0" w:rsidRDefault="007F5742" w:rsidP="00FC7B3E">
            <w:pPr>
              <w:pStyle w:val="HED-tablebody"/>
              <w:jc w:val="left"/>
              <w:rPr>
                <w:lang w:val="en-GB"/>
              </w:rPr>
            </w:pPr>
            <w:r w:rsidRPr="003E29C0">
              <w:rPr>
                <w:lang w:val="en-GB"/>
              </w:rPr>
              <w:t>Financial demands placed on management</w:t>
            </w:r>
          </w:p>
        </w:tc>
        <w:tc>
          <w:tcPr>
            <w:tcW w:w="0" w:type="auto"/>
          </w:tcPr>
          <w:p w14:paraId="0D6BAF17" w14:textId="77777777" w:rsidR="007F5742" w:rsidRPr="003E29C0" w:rsidRDefault="007F5742" w:rsidP="003E29C0">
            <w:pPr>
              <w:pStyle w:val="HED-tablebody"/>
              <w:jc w:val="right"/>
              <w:rPr>
                <w:lang w:val="en-GB"/>
              </w:rPr>
            </w:pPr>
            <w:r w:rsidRPr="003E29C0">
              <w:rPr>
                <w:lang w:val="en-GB"/>
              </w:rPr>
              <w:t>9.8%</w:t>
            </w:r>
          </w:p>
        </w:tc>
      </w:tr>
      <w:tr w:rsidR="007F5742" w:rsidRPr="003E29C0" w14:paraId="44AF46E0" w14:textId="77777777" w:rsidTr="00DA22F2">
        <w:trPr>
          <w:trHeight w:val="249"/>
        </w:trPr>
        <w:tc>
          <w:tcPr>
            <w:tcW w:w="0" w:type="auto"/>
          </w:tcPr>
          <w:p w14:paraId="70AF1064" w14:textId="062BF99B" w:rsidR="007F5742" w:rsidRPr="003E29C0" w:rsidRDefault="007F5742" w:rsidP="00FC7B3E">
            <w:pPr>
              <w:pStyle w:val="HED-tablebody"/>
              <w:jc w:val="left"/>
              <w:rPr>
                <w:lang w:val="en-GB"/>
              </w:rPr>
            </w:pPr>
            <w:r w:rsidRPr="003E29C0">
              <w:rPr>
                <w:lang w:val="en-GB"/>
              </w:rPr>
              <w:t>I don´t see any downsides</w:t>
            </w:r>
          </w:p>
        </w:tc>
        <w:tc>
          <w:tcPr>
            <w:tcW w:w="0" w:type="auto"/>
          </w:tcPr>
          <w:p w14:paraId="0714D154" w14:textId="77777777" w:rsidR="007F5742" w:rsidRPr="003E29C0" w:rsidRDefault="007F5742" w:rsidP="003E29C0">
            <w:pPr>
              <w:pStyle w:val="HED-tablebody"/>
              <w:jc w:val="right"/>
              <w:rPr>
                <w:lang w:val="en-GB"/>
              </w:rPr>
            </w:pPr>
            <w:r w:rsidRPr="003E29C0">
              <w:rPr>
                <w:lang w:val="en-GB"/>
              </w:rPr>
              <w:t>37.2%</w:t>
            </w:r>
          </w:p>
        </w:tc>
      </w:tr>
    </w:tbl>
    <w:p w14:paraId="3CFD6197" w14:textId="77777777" w:rsidR="007F5742" w:rsidRPr="003E29C0" w:rsidRDefault="007F5742" w:rsidP="007F5742">
      <w:pPr>
        <w:pStyle w:val="HED-text"/>
        <w:ind w:firstLine="0"/>
        <w:rPr>
          <w:lang w:val="en-GB"/>
        </w:rPr>
      </w:pPr>
    </w:p>
    <w:p w14:paraId="28546276" w14:textId="375E32DB" w:rsidR="007F5742" w:rsidRPr="003E29C0" w:rsidRDefault="007F5742" w:rsidP="007F5742">
      <w:pPr>
        <w:pStyle w:val="HED-text"/>
        <w:rPr>
          <w:lang w:val="en-GB"/>
        </w:rPr>
      </w:pPr>
      <w:r w:rsidRPr="003E29C0">
        <w:rPr>
          <w:lang w:val="en-GB"/>
        </w:rPr>
        <w:t>As evident from Table 4, the respondents mainly agreed that this is</w:t>
      </w:r>
      <w:r w:rsidR="008E204D" w:rsidRPr="003E29C0">
        <w:rPr>
          <w:lang w:val="en-GB"/>
        </w:rPr>
        <w:t> </w:t>
      </w:r>
      <w:r w:rsidRPr="003E29C0">
        <w:rPr>
          <w:lang w:val="en-GB"/>
        </w:rPr>
        <w:t>a</w:t>
      </w:r>
      <w:r w:rsidR="008E204D" w:rsidRPr="003E29C0">
        <w:rPr>
          <w:lang w:val="en-GB"/>
        </w:rPr>
        <w:t> </w:t>
      </w:r>
      <w:r w:rsidRPr="003E29C0">
        <w:rPr>
          <w:lang w:val="en-GB"/>
        </w:rPr>
        <w:t>management-intensive way of managing the organization, not only in terms of</w:t>
      </w:r>
      <w:r w:rsidR="008E204D" w:rsidRPr="003E29C0">
        <w:rPr>
          <w:lang w:val="en-GB"/>
        </w:rPr>
        <w:t> </w:t>
      </w:r>
      <w:r w:rsidRPr="003E29C0">
        <w:rPr>
          <w:lang w:val="en-GB"/>
        </w:rPr>
        <w:t xml:space="preserve">communication and financial requirements. Targeted measures to promote the health and professional development of the 50+ age group are more beneficial to the company than dismissals and early retirements. Such </w:t>
      </w:r>
      <w:r w:rsidR="001418AA" w:rsidRPr="003E29C0">
        <w:rPr>
          <w:lang w:val="en-GB"/>
        </w:rPr>
        <w:t>effort</w:t>
      </w:r>
      <w:r w:rsidRPr="003E29C0">
        <w:rPr>
          <w:lang w:val="en-GB"/>
        </w:rPr>
        <w:t xml:space="preserve">s include flexible working arrangements, such as </w:t>
      </w:r>
      <w:proofErr w:type="spellStart"/>
      <w:r w:rsidRPr="003E29C0">
        <w:rPr>
          <w:lang w:val="en-GB"/>
        </w:rPr>
        <w:t>flextime</w:t>
      </w:r>
      <w:proofErr w:type="spellEnd"/>
      <w:r w:rsidRPr="003E29C0">
        <w:rPr>
          <w:lang w:val="en-GB"/>
        </w:rPr>
        <w:t xml:space="preserve">, part-time work, job-sharing, working from home, and, last but not least, condensed working weeks. Furthermore, </w:t>
      </w:r>
      <w:r w:rsidR="001418AA" w:rsidRPr="003E29C0">
        <w:rPr>
          <w:lang w:val="en-GB"/>
        </w:rPr>
        <w:t>five</w:t>
      </w:r>
      <w:r w:rsidRPr="003E29C0">
        <w:rPr>
          <w:lang w:val="en-GB"/>
        </w:rPr>
        <w:t xml:space="preserve"> hypotheses have been tested at the 0.05 level of</w:t>
      </w:r>
      <w:r w:rsidR="008E204D" w:rsidRPr="003E29C0">
        <w:rPr>
          <w:lang w:val="en-GB"/>
        </w:rPr>
        <w:t> </w:t>
      </w:r>
      <w:r w:rsidRPr="003E29C0">
        <w:rPr>
          <w:lang w:val="en-GB"/>
        </w:rPr>
        <w:t xml:space="preserve">significance </w:t>
      </w:r>
      <w:r w:rsidR="001418AA" w:rsidRPr="003E29C0">
        <w:rPr>
          <w:lang w:val="en-GB"/>
        </w:rPr>
        <w:t>concerning</w:t>
      </w:r>
      <w:r w:rsidRPr="003E29C0">
        <w:rPr>
          <w:lang w:val="en-GB"/>
        </w:rPr>
        <w:t xml:space="preserve"> the selected identifying factors:</w:t>
      </w:r>
    </w:p>
    <w:p w14:paraId="4852173E" w14:textId="06611A9D" w:rsidR="007F5742" w:rsidRPr="003E29C0" w:rsidRDefault="007F5742" w:rsidP="004308F7">
      <w:pPr>
        <w:pStyle w:val="HED-itemlist"/>
      </w:pPr>
      <w:r w:rsidRPr="003E29C0">
        <w:t>H</w:t>
      </w:r>
      <w:r w:rsidRPr="003E29C0">
        <w:rPr>
          <w:vertAlign w:val="subscript"/>
        </w:rPr>
        <w:t>0</w:t>
      </w:r>
      <w:r w:rsidRPr="003E29C0">
        <w:t>: The organization´s focus on age management does not depend on the business sector.</w:t>
      </w:r>
    </w:p>
    <w:p w14:paraId="10527F37" w14:textId="1540FF43" w:rsidR="007F5742" w:rsidRPr="003E29C0" w:rsidRDefault="007F5742" w:rsidP="004308F7">
      <w:pPr>
        <w:pStyle w:val="HED-itemlist"/>
      </w:pPr>
      <w:r w:rsidRPr="003E29C0">
        <w:t>H</w:t>
      </w:r>
      <w:r w:rsidRPr="003E29C0">
        <w:rPr>
          <w:vertAlign w:val="subscript"/>
        </w:rPr>
        <w:t>0</w:t>
      </w:r>
      <w:r w:rsidRPr="003E29C0">
        <w:t>: The organization´s focus on age management does not depend on the size of the organization.</w:t>
      </w:r>
    </w:p>
    <w:p w14:paraId="47E724B7" w14:textId="5646B367" w:rsidR="007F5742" w:rsidRPr="003E29C0" w:rsidRDefault="007F5742" w:rsidP="004308F7">
      <w:pPr>
        <w:pStyle w:val="HED-itemlist"/>
      </w:pPr>
      <w:r w:rsidRPr="003E29C0">
        <w:t>H</w:t>
      </w:r>
      <w:r w:rsidRPr="003E29C0">
        <w:rPr>
          <w:vertAlign w:val="subscript"/>
        </w:rPr>
        <w:t>0</w:t>
      </w:r>
      <w:r w:rsidRPr="003E29C0">
        <w:t>: The organization´s focus on age management does not depend on the majority ownership.</w:t>
      </w:r>
    </w:p>
    <w:p w14:paraId="0978621E" w14:textId="124EA4AD" w:rsidR="007F5742" w:rsidRPr="003E29C0" w:rsidRDefault="007F5742" w:rsidP="004308F7">
      <w:pPr>
        <w:pStyle w:val="HED-itemlist"/>
      </w:pPr>
      <w:r w:rsidRPr="003E29C0">
        <w:t>H</w:t>
      </w:r>
      <w:r w:rsidRPr="003E29C0">
        <w:rPr>
          <w:vertAlign w:val="subscript"/>
        </w:rPr>
        <w:t>0</w:t>
      </w:r>
      <w:r w:rsidRPr="003E29C0">
        <w:t>: The organization´s focus on age management does not depend on the type of</w:t>
      </w:r>
      <w:r w:rsidR="009E35D4" w:rsidRPr="003E29C0">
        <w:t> </w:t>
      </w:r>
      <w:r w:rsidRPr="003E29C0">
        <w:t xml:space="preserve">organization (the </w:t>
      </w:r>
      <w:r w:rsidR="001418AA" w:rsidRPr="003E29C0">
        <w:t>kind</w:t>
      </w:r>
      <w:r w:rsidRPr="003E29C0">
        <w:t xml:space="preserve"> of ownership).</w:t>
      </w:r>
    </w:p>
    <w:p w14:paraId="6A58C002" w14:textId="56D385EB" w:rsidR="007F5742" w:rsidRPr="003E29C0" w:rsidRDefault="007F5742" w:rsidP="004308F7">
      <w:pPr>
        <w:pStyle w:val="HED-itemlist"/>
      </w:pPr>
      <w:r w:rsidRPr="003E29C0">
        <w:t>H</w:t>
      </w:r>
      <w:r w:rsidRPr="003E29C0">
        <w:rPr>
          <w:vertAlign w:val="subscript"/>
        </w:rPr>
        <w:t>0</w:t>
      </w:r>
      <w:r w:rsidRPr="003E29C0">
        <w:t>: The organization´s focus on age management does not depend on its annual turnover.</w:t>
      </w:r>
    </w:p>
    <w:p w14:paraId="69CB05E2" w14:textId="715D635C" w:rsidR="007F5742" w:rsidRPr="003E29C0" w:rsidRDefault="007F5742" w:rsidP="007F5742">
      <w:pPr>
        <w:pStyle w:val="HED-text"/>
        <w:rPr>
          <w:lang w:val="en-GB"/>
        </w:rPr>
      </w:pPr>
      <w:r w:rsidRPr="003E29C0">
        <w:rPr>
          <w:lang w:val="en-GB"/>
        </w:rPr>
        <w:t>Based on the statistical testing, it can be summarized that at the 0.05 level of significance:</w:t>
      </w:r>
    </w:p>
    <w:p w14:paraId="2CADA44A" w14:textId="26B9C4AC" w:rsidR="007F5742" w:rsidRPr="003E29C0" w:rsidRDefault="007F5742" w:rsidP="005C4856">
      <w:pPr>
        <w:pStyle w:val="HED-itemlist"/>
        <w:numPr>
          <w:ilvl w:val="0"/>
          <w:numId w:val="12"/>
        </w:numPr>
        <w:ind w:left="426" w:hanging="426"/>
      </w:pPr>
      <w:r w:rsidRPr="003E29C0">
        <w:t>The organization´s focus on age management is statistically independent of the business sector (</w:t>
      </w:r>
      <w:r w:rsidRPr="003E29C0">
        <w:rPr>
          <w:i/>
          <w:iCs/>
        </w:rPr>
        <w:t>p</w:t>
      </w:r>
      <w:r w:rsidRPr="003E29C0">
        <w:t>-value = 0.493).</w:t>
      </w:r>
    </w:p>
    <w:p w14:paraId="1C848805" w14:textId="4D95FDC0" w:rsidR="007F5742" w:rsidRPr="003E29C0" w:rsidRDefault="007F5742" w:rsidP="005C4856">
      <w:pPr>
        <w:pStyle w:val="HED-itemlist"/>
        <w:numPr>
          <w:ilvl w:val="0"/>
          <w:numId w:val="12"/>
        </w:numPr>
        <w:ind w:left="426" w:hanging="426"/>
      </w:pPr>
      <w:r w:rsidRPr="003E29C0">
        <w:t xml:space="preserve">The organization´s focus on age management is statistically independent of the </w:t>
      </w:r>
      <w:r w:rsidR="001418AA" w:rsidRPr="003E29C0">
        <w:t>organization's size</w:t>
      </w:r>
      <w:r w:rsidRPr="003E29C0">
        <w:t xml:space="preserve"> (</w:t>
      </w:r>
      <w:r w:rsidRPr="003E29C0">
        <w:rPr>
          <w:i/>
          <w:iCs/>
        </w:rPr>
        <w:t>p</w:t>
      </w:r>
      <w:r w:rsidRPr="003E29C0">
        <w:t>-value = 0.314).</w:t>
      </w:r>
    </w:p>
    <w:p w14:paraId="2362F931" w14:textId="05A94402" w:rsidR="007F5742" w:rsidRPr="003E29C0" w:rsidRDefault="007F5742" w:rsidP="005C4856">
      <w:pPr>
        <w:pStyle w:val="HED-itemlist"/>
        <w:numPr>
          <w:ilvl w:val="0"/>
          <w:numId w:val="12"/>
        </w:numPr>
        <w:ind w:left="426" w:hanging="426"/>
      </w:pPr>
      <w:r w:rsidRPr="003E29C0">
        <w:t>The organization´s focus on age management is statistically independent of its majority ownership (</w:t>
      </w:r>
      <w:r w:rsidRPr="003E29C0">
        <w:rPr>
          <w:i/>
          <w:iCs/>
        </w:rPr>
        <w:t>p</w:t>
      </w:r>
      <w:r w:rsidRPr="003E29C0">
        <w:t>-value = 0.482).</w:t>
      </w:r>
    </w:p>
    <w:p w14:paraId="26FE8A52" w14:textId="7DBFD0D0" w:rsidR="007F5742" w:rsidRPr="003E29C0" w:rsidRDefault="007F5742" w:rsidP="005C4856">
      <w:pPr>
        <w:pStyle w:val="HED-itemlist"/>
        <w:numPr>
          <w:ilvl w:val="0"/>
          <w:numId w:val="12"/>
        </w:numPr>
        <w:ind w:left="426" w:hanging="426"/>
      </w:pPr>
      <w:r w:rsidRPr="003E29C0">
        <w:t>The organization´s focus on age management is statistically independent of the type of</w:t>
      </w:r>
      <w:r w:rsidR="009E35D4" w:rsidRPr="003E29C0">
        <w:t> </w:t>
      </w:r>
      <w:r w:rsidRPr="003E29C0">
        <w:t xml:space="preserve">organization (the </w:t>
      </w:r>
      <w:r w:rsidR="001418AA" w:rsidRPr="003E29C0">
        <w:t>kind</w:t>
      </w:r>
      <w:r w:rsidRPr="003E29C0">
        <w:t xml:space="preserve"> of ownership) (</w:t>
      </w:r>
      <w:r w:rsidRPr="003E29C0">
        <w:rPr>
          <w:i/>
          <w:iCs/>
        </w:rPr>
        <w:t>p</w:t>
      </w:r>
      <w:r w:rsidRPr="003E29C0">
        <w:t>-value = 0.476).</w:t>
      </w:r>
    </w:p>
    <w:p w14:paraId="0E0D2423" w14:textId="4DCA72D7" w:rsidR="007F5742" w:rsidRPr="003E29C0" w:rsidRDefault="007F5742" w:rsidP="005C4856">
      <w:pPr>
        <w:pStyle w:val="HED-itemlist"/>
        <w:numPr>
          <w:ilvl w:val="0"/>
          <w:numId w:val="12"/>
        </w:numPr>
        <w:ind w:left="426" w:hanging="426"/>
      </w:pPr>
      <w:r w:rsidRPr="003E29C0">
        <w:t>The organization´s focus on age management is statistically independent of its annual turnover (</w:t>
      </w:r>
      <w:r w:rsidRPr="003E29C0">
        <w:rPr>
          <w:i/>
          <w:iCs/>
        </w:rPr>
        <w:t>p</w:t>
      </w:r>
      <w:r w:rsidRPr="003E29C0">
        <w:t>-value = 0.606).</w:t>
      </w:r>
    </w:p>
    <w:p w14:paraId="29301CF8" w14:textId="22D8C066" w:rsidR="007F5742" w:rsidRPr="003E29C0" w:rsidRDefault="007F5742" w:rsidP="007F5742">
      <w:pPr>
        <w:pStyle w:val="HED-text"/>
        <w:rPr>
          <w:lang w:val="en-GB"/>
        </w:rPr>
      </w:pPr>
      <w:r w:rsidRPr="003E29C0">
        <w:rPr>
          <w:lang w:val="en-GB"/>
        </w:rPr>
        <w:t xml:space="preserve">To conclude, any organization, regardless of its sector, size, ownership, or annual turnover, can engage in age management; the difference between organizations may </w:t>
      </w:r>
      <w:r w:rsidRPr="003E29C0">
        <w:rPr>
          <w:lang w:val="en-GB"/>
        </w:rPr>
        <w:lastRenderedPageBreak/>
        <w:t>be</w:t>
      </w:r>
      <w:r w:rsidR="009E35D4" w:rsidRPr="003E29C0">
        <w:rPr>
          <w:lang w:val="en-GB"/>
        </w:rPr>
        <w:t> </w:t>
      </w:r>
      <w:r w:rsidRPr="003E29C0">
        <w:rPr>
          <w:lang w:val="en-GB"/>
        </w:rPr>
        <w:t>in</w:t>
      </w:r>
      <w:r w:rsidR="009E35D4" w:rsidRPr="003E29C0">
        <w:rPr>
          <w:lang w:val="en-GB"/>
        </w:rPr>
        <w:t> </w:t>
      </w:r>
      <w:r w:rsidRPr="003E29C0">
        <w:rPr>
          <w:lang w:val="en-GB"/>
        </w:rPr>
        <w:t>the</w:t>
      </w:r>
      <w:r w:rsidR="009E35D4" w:rsidRPr="003E29C0">
        <w:rPr>
          <w:lang w:val="en-GB"/>
        </w:rPr>
        <w:t> </w:t>
      </w:r>
      <w:r w:rsidRPr="003E29C0">
        <w:rPr>
          <w:lang w:val="en-GB"/>
        </w:rPr>
        <w:t xml:space="preserve">depth and scope of implementation. The research findings thus confirm the conclusions of international studies, e.g., </w:t>
      </w:r>
      <w:proofErr w:type="spellStart"/>
      <w:r w:rsidRPr="003E29C0">
        <w:rPr>
          <w:lang w:val="en-GB"/>
        </w:rPr>
        <w:t>Feißel</w:t>
      </w:r>
      <w:proofErr w:type="spellEnd"/>
      <w:r w:rsidRPr="003E29C0">
        <w:rPr>
          <w:lang w:val="en-GB"/>
        </w:rPr>
        <w:t xml:space="preserve"> et al. (2018); </w:t>
      </w:r>
      <w:proofErr w:type="spellStart"/>
      <w:r w:rsidRPr="003E29C0">
        <w:rPr>
          <w:lang w:val="en-GB"/>
        </w:rPr>
        <w:t>Kooij</w:t>
      </w:r>
      <w:proofErr w:type="spellEnd"/>
      <w:r w:rsidRPr="003E29C0">
        <w:rPr>
          <w:lang w:val="en-GB"/>
        </w:rPr>
        <w:t xml:space="preserve"> (2020); </w:t>
      </w:r>
      <w:proofErr w:type="spellStart"/>
      <w:r w:rsidRPr="003E29C0">
        <w:rPr>
          <w:lang w:val="en-GB"/>
        </w:rPr>
        <w:t>Garavaglia</w:t>
      </w:r>
      <w:proofErr w:type="spellEnd"/>
      <w:r w:rsidRPr="003E29C0">
        <w:rPr>
          <w:lang w:val="en-GB"/>
        </w:rPr>
        <w:t xml:space="preserve"> et al. (2021).</w:t>
      </w:r>
    </w:p>
    <w:p w14:paraId="35D43029" w14:textId="5F20F453" w:rsidR="007F5742" w:rsidRPr="003E29C0" w:rsidRDefault="007F5742" w:rsidP="007F5742">
      <w:pPr>
        <w:pStyle w:val="HED-text"/>
        <w:rPr>
          <w:lang w:val="en-GB"/>
        </w:rPr>
      </w:pPr>
      <w:r w:rsidRPr="003E29C0">
        <w:rPr>
          <w:lang w:val="en-GB"/>
        </w:rPr>
        <w:t>Based on the results obtained, it can be stated that organizational processes can only be</w:t>
      </w:r>
      <w:r w:rsidR="00584A7B" w:rsidRPr="003E29C0">
        <w:rPr>
          <w:lang w:val="en-GB"/>
        </w:rPr>
        <w:t> </w:t>
      </w:r>
      <w:r w:rsidRPr="003E29C0">
        <w:rPr>
          <w:lang w:val="en-GB"/>
        </w:rPr>
        <w:t>optimized with a positive effect in any organization if the organization pays attention to</w:t>
      </w:r>
      <w:r w:rsidR="00584A7B" w:rsidRPr="003E29C0">
        <w:rPr>
          <w:lang w:val="en-GB"/>
        </w:rPr>
        <w:t> </w:t>
      </w:r>
      <w:r w:rsidRPr="003E29C0">
        <w:rPr>
          <w:lang w:val="en-GB"/>
        </w:rPr>
        <w:t>its employees. The loyalty to the employer is continuously decreasing on the part of Generation Z and Millennials (Y) compared to Generation X. Therefore, the management of</w:t>
      </w:r>
      <w:r w:rsidR="00584A7B" w:rsidRPr="003E29C0">
        <w:rPr>
          <w:lang w:val="en-GB"/>
        </w:rPr>
        <w:t> </w:t>
      </w:r>
      <w:r w:rsidRPr="003E29C0">
        <w:rPr>
          <w:lang w:val="en-GB"/>
        </w:rPr>
        <w:t>organizations must focus on harmonizing the values of employees and employers.</w:t>
      </w:r>
    </w:p>
    <w:p w14:paraId="2848551C" w14:textId="37DC21D6" w:rsidR="007F5742" w:rsidRPr="003E29C0" w:rsidRDefault="007F5742" w:rsidP="007F5742">
      <w:pPr>
        <w:pStyle w:val="HED-text"/>
        <w:rPr>
          <w:lang w:val="en-GB"/>
        </w:rPr>
      </w:pPr>
      <w:r w:rsidRPr="003E29C0">
        <w:rPr>
          <w:lang w:val="en-GB"/>
        </w:rPr>
        <w:t xml:space="preserve">Therefore, a well-trained, continuously developed, and satisfied team is now all the more necessary in any organization in the time of COVID-19. Every organization must have job descriptions for individual positions and the </w:t>
      </w:r>
      <w:r w:rsidR="001418AA" w:rsidRPr="003E29C0">
        <w:rPr>
          <w:lang w:val="en-GB"/>
        </w:rPr>
        <w:t>required</w:t>
      </w:r>
      <w:r w:rsidRPr="003E29C0">
        <w:rPr>
          <w:lang w:val="en-GB"/>
        </w:rPr>
        <w:t xml:space="preserve"> competences required of their employees, properly set and communicated KPIs (key performance indicators) always assigned transparently and unambiguously to a process, a service, an organizational unit, the entire organization, from which performance, quality and cost-effectiveness can be</w:t>
      </w:r>
      <w:r w:rsidR="00584A7B" w:rsidRPr="003E29C0">
        <w:rPr>
          <w:lang w:val="en-GB"/>
        </w:rPr>
        <w:t> </w:t>
      </w:r>
      <w:r w:rsidRPr="003E29C0">
        <w:rPr>
          <w:lang w:val="en-GB"/>
        </w:rPr>
        <w:t xml:space="preserve">generated. Every organization must set </w:t>
      </w:r>
      <w:r w:rsidR="001418AA" w:rsidRPr="003E29C0">
        <w:rPr>
          <w:lang w:val="en-GB"/>
        </w:rPr>
        <w:t>transparent</w:t>
      </w:r>
      <w:r w:rsidRPr="003E29C0">
        <w:rPr>
          <w:lang w:val="en-GB"/>
        </w:rPr>
        <w:t xml:space="preserve"> </w:t>
      </w:r>
      <w:r w:rsidR="001418AA" w:rsidRPr="003E29C0">
        <w:rPr>
          <w:lang w:val="en-GB"/>
        </w:rPr>
        <w:t>administrative</w:t>
      </w:r>
      <w:r w:rsidRPr="003E29C0">
        <w:rPr>
          <w:lang w:val="en-GB"/>
        </w:rPr>
        <w:t xml:space="preserve"> processes, understandable strategies that will be communicated to employees. Furthermore, it is necessary to ensure the substitutability of employees not only during the COVID-19 illness but during any other health complications. It is ne</w:t>
      </w:r>
      <w:r w:rsidR="001418AA" w:rsidRPr="003E29C0">
        <w:rPr>
          <w:lang w:val="en-GB"/>
        </w:rPr>
        <w:t>eded</w:t>
      </w:r>
      <w:r w:rsidRPr="003E29C0">
        <w:rPr>
          <w:lang w:val="en-GB"/>
        </w:rPr>
        <w:t xml:space="preserve"> to communicate with employees on</w:t>
      </w:r>
      <w:r w:rsidR="00584A7B" w:rsidRPr="003E29C0">
        <w:rPr>
          <w:lang w:val="en-GB"/>
        </w:rPr>
        <w:t> </w:t>
      </w:r>
      <w:r w:rsidRPr="003E29C0">
        <w:rPr>
          <w:lang w:val="en-GB"/>
        </w:rPr>
        <w:t>a</w:t>
      </w:r>
      <w:r w:rsidR="00584A7B" w:rsidRPr="003E29C0">
        <w:rPr>
          <w:lang w:val="en-GB"/>
        </w:rPr>
        <w:t> </w:t>
      </w:r>
      <w:r w:rsidRPr="003E29C0">
        <w:rPr>
          <w:lang w:val="en-GB"/>
        </w:rPr>
        <w:t>daily basis (even if it is online or by phone) and address any new issues promptly and introduce employee development plans</w:t>
      </w:r>
      <w:r w:rsidR="001418AA" w:rsidRPr="003E29C0">
        <w:rPr>
          <w:lang w:val="en-GB"/>
        </w:rPr>
        <w:t>,</w:t>
      </w:r>
      <w:r w:rsidRPr="003E29C0">
        <w:rPr>
          <w:lang w:val="en-GB"/>
        </w:rPr>
        <w:t xml:space="preserve"> including feedback.</w:t>
      </w:r>
    </w:p>
    <w:p w14:paraId="79F5E032" w14:textId="3FBAC4E3" w:rsidR="007F5742" w:rsidRPr="003E29C0" w:rsidRDefault="007F5742" w:rsidP="007F5742">
      <w:pPr>
        <w:pStyle w:val="HED-text"/>
        <w:rPr>
          <w:lang w:val="en-GB"/>
        </w:rPr>
      </w:pPr>
      <w:r w:rsidRPr="003E29C0">
        <w:rPr>
          <w:lang w:val="en-GB"/>
        </w:rPr>
        <w:t xml:space="preserve">To summarize, in the current state of the </w:t>
      </w:r>
      <w:proofErr w:type="spellStart"/>
      <w:r w:rsidRPr="003E29C0">
        <w:rPr>
          <w:lang w:val="en-GB"/>
        </w:rPr>
        <w:t>labor</w:t>
      </w:r>
      <w:proofErr w:type="spellEnd"/>
      <w:r w:rsidRPr="003E29C0">
        <w:rPr>
          <w:lang w:val="en-GB"/>
        </w:rPr>
        <w:t xml:space="preserve"> market, because of COVID-19</w:t>
      </w:r>
      <w:r w:rsidR="001418AA" w:rsidRPr="003E29C0">
        <w:rPr>
          <w:lang w:val="en-GB"/>
        </w:rPr>
        <w:t>,</w:t>
      </w:r>
      <w:r w:rsidRPr="003E29C0">
        <w:rPr>
          <w:lang w:val="en-GB"/>
        </w:rPr>
        <w:t xml:space="preserve"> organizations must:</w:t>
      </w:r>
    </w:p>
    <w:p w14:paraId="68A6D3E0" w14:textId="53C0B04D" w:rsidR="007F5742" w:rsidRPr="003E29C0" w:rsidRDefault="007F5742" w:rsidP="004D5F1E">
      <w:pPr>
        <w:pStyle w:val="HED-bulletlist"/>
        <w:ind w:left="426" w:hanging="426"/>
      </w:pPr>
      <w:r w:rsidRPr="003E29C0">
        <w:t>To give priority to enhancing the skills and abilities of all employees, regardless of their age, to fully adapt them to the digital environment.</w:t>
      </w:r>
    </w:p>
    <w:p w14:paraId="631B2000" w14:textId="1E612CE9" w:rsidR="007F5742" w:rsidRPr="003E29C0" w:rsidRDefault="007F5742" w:rsidP="004D5F1E">
      <w:pPr>
        <w:pStyle w:val="HED-bulletlist"/>
        <w:ind w:left="426" w:hanging="426"/>
      </w:pPr>
      <w:r w:rsidRPr="003E29C0">
        <w:t>To develop cognitive skills and to increase employee responsiveness to the need for change and innovation.</w:t>
      </w:r>
    </w:p>
    <w:p w14:paraId="22A781DC" w14:textId="7CC6B8D2" w:rsidR="007F5742" w:rsidRPr="003E29C0" w:rsidRDefault="007F5742" w:rsidP="004D5F1E">
      <w:pPr>
        <w:pStyle w:val="HED-bulletlist"/>
        <w:ind w:left="426" w:hanging="426"/>
      </w:pPr>
      <w:r w:rsidRPr="003E29C0">
        <w:t>To develop social and emotional skills to ensure effective collaboration among all generations of employees.</w:t>
      </w:r>
    </w:p>
    <w:p w14:paraId="0904B75A" w14:textId="45E7BEF6" w:rsidR="00C5271E" w:rsidRPr="003E29C0" w:rsidRDefault="007F5742" w:rsidP="004D5F1E">
      <w:pPr>
        <w:pStyle w:val="HED-bulletlist"/>
        <w:ind w:left="426" w:hanging="426"/>
        <w:rPr>
          <w:lang w:val="en-GB"/>
        </w:rPr>
      </w:pPr>
      <w:r w:rsidRPr="003E29C0">
        <w:t>To develop employees in their skills, abilities, and resilience to the stress that COVID-19 has brought to a greater extent.</w:t>
      </w:r>
    </w:p>
    <w:p w14:paraId="7F6DCCE1" w14:textId="1A59FB27" w:rsidR="00101D43" w:rsidRPr="003E29C0" w:rsidRDefault="00101D43" w:rsidP="00C5271E">
      <w:pPr>
        <w:pStyle w:val="HED-heading1"/>
      </w:pPr>
      <w:r w:rsidRPr="003E29C0">
        <w:t>4. Discussion</w:t>
      </w:r>
    </w:p>
    <w:p w14:paraId="70180D36" w14:textId="13DFEE88" w:rsidR="00D449F5" w:rsidRPr="003E29C0" w:rsidRDefault="00D449F5" w:rsidP="00D449F5">
      <w:pPr>
        <w:pStyle w:val="HED-text"/>
        <w:rPr>
          <w:lang w:val="en-GB"/>
        </w:rPr>
      </w:pPr>
      <w:bookmarkStart w:id="0" w:name="OLE_LINK4"/>
      <w:bookmarkStart w:id="1" w:name="OLE_LINK5"/>
      <w:r w:rsidRPr="003E29C0">
        <w:rPr>
          <w:lang w:val="en-GB"/>
        </w:rPr>
        <w:t xml:space="preserve">For instance, as shown by the findings of Ayalon et al. (2020); </w:t>
      </w:r>
      <w:proofErr w:type="spellStart"/>
      <w:r w:rsidRPr="003E29C0">
        <w:rPr>
          <w:lang w:val="en-GB"/>
        </w:rPr>
        <w:t>Kooij</w:t>
      </w:r>
      <w:proofErr w:type="spellEnd"/>
      <w:r w:rsidRPr="003E29C0">
        <w:rPr>
          <w:lang w:val="en-GB"/>
        </w:rPr>
        <w:t xml:space="preserve"> (2020), the 50+ older workers may be more affected by the COVID-19 pandemic than younger ones. Higher mortality rates from COVID-19 among the elderly </w:t>
      </w:r>
      <w:r w:rsidR="001418AA" w:rsidRPr="003E29C0">
        <w:rPr>
          <w:lang w:val="en-GB"/>
        </w:rPr>
        <w:t>prompt</w:t>
      </w:r>
      <w:r w:rsidRPr="003E29C0">
        <w:rPr>
          <w:lang w:val="en-GB"/>
        </w:rPr>
        <w:t xml:space="preserve"> some of them to retire early (</w:t>
      </w:r>
      <w:proofErr w:type="spellStart"/>
      <w:r w:rsidRPr="003E29C0">
        <w:rPr>
          <w:lang w:val="en-GB"/>
        </w:rPr>
        <w:t>Akkermans</w:t>
      </w:r>
      <w:proofErr w:type="spellEnd"/>
      <w:r w:rsidRPr="003E29C0">
        <w:rPr>
          <w:lang w:val="en-GB"/>
        </w:rPr>
        <w:t xml:space="preserve"> et al., 2020), and the number of employees reducing their working hours due to</w:t>
      </w:r>
      <w:r w:rsidR="00123D04" w:rsidRPr="003E29C0">
        <w:rPr>
          <w:lang w:val="en-GB"/>
        </w:rPr>
        <w:t> </w:t>
      </w:r>
      <w:r w:rsidRPr="003E29C0">
        <w:rPr>
          <w:lang w:val="en-GB"/>
        </w:rPr>
        <w:t>health problems after suffering from COVID-19 has also been increasing. In the surveyed organizations in the Czech Republic, work teams have been destabilized</w:t>
      </w:r>
      <w:r w:rsidR="001418AA" w:rsidRPr="003E29C0">
        <w:rPr>
          <w:lang w:val="en-GB"/>
        </w:rPr>
        <w:t>,</w:t>
      </w:r>
      <w:r w:rsidRPr="003E29C0">
        <w:rPr>
          <w:lang w:val="en-GB"/>
        </w:rPr>
        <w:t xml:space="preserve"> and the organizations are understaffed, which threatens the continuity of processes. For younger people, the pandemic may be their first experience with a major global crisis, which can have long-term psychological impacts (</w:t>
      </w:r>
      <w:proofErr w:type="spellStart"/>
      <w:r w:rsidRPr="003E29C0">
        <w:rPr>
          <w:lang w:val="en-GB"/>
        </w:rPr>
        <w:t>Akkermans</w:t>
      </w:r>
      <w:proofErr w:type="spellEnd"/>
      <w:r w:rsidRPr="003E29C0">
        <w:rPr>
          <w:lang w:val="en-GB"/>
        </w:rPr>
        <w:t xml:space="preserve"> et al., 2020). In addition to certain serious </w:t>
      </w:r>
      <w:r w:rsidRPr="003E29C0">
        <w:rPr>
          <w:lang w:val="en-GB"/>
        </w:rPr>
        <w:lastRenderedPageBreak/>
        <w:t>health risks, older employees have to work from home because of the measures, which often means using IT technology. The need to upgrade their skills and competenc</w:t>
      </w:r>
      <w:r w:rsidR="001418AA" w:rsidRPr="003E29C0">
        <w:rPr>
          <w:lang w:val="en-GB"/>
        </w:rPr>
        <w:t>i</w:t>
      </w:r>
      <w:r w:rsidRPr="003E29C0">
        <w:rPr>
          <w:lang w:val="en-GB"/>
        </w:rPr>
        <w:t xml:space="preserve">es, especially </w:t>
      </w:r>
      <w:r w:rsidR="001418AA" w:rsidRPr="003E29C0">
        <w:rPr>
          <w:lang w:val="en-GB"/>
        </w:rPr>
        <w:t>concerning</w:t>
      </w:r>
      <w:r w:rsidRPr="003E29C0">
        <w:rPr>
          <w:lang w:val="en-GB"/>
        </w:rPr>
        <w:t xml:space="preserve"> the use of technology, is highlighted, for example, by </w:t>
      </w:r>
      <w:proofErr w:type="spellStart"/>
      <w:r w:rsidRPr="003E29C0">
        <w:rPr>
          <w:lang w:val="en-GB"/>
        </w:rPr>
        <w:t>Akkermans</w:t>
      </w:r>
      <w:proofErr w:type="spellEnd"/>
      <w:r w:rsidRPr="003E29C0">
        <w:rPr>
          <w:lang w:val="en-GB"/>
        </w:rPr>
        <w:t xml:space="preserve"> et al. (2020).</w:t>
      </w:r>
    </w:p>
    <w:p w14:paraId="65BFD550" w14:textId="3C413123" w:rsidR="00D449F5" w:rsidRPr="003E29C0" w:rsidRDefault="00D449F5" w:rsidP="00D449F5">
      <w:pPr>
        <w:pStyle w:val="HED-text"/>
        <w:rPr>
          <w:lang w:val="en-GB"/>
        </w:rPr>
      </w:pPr>
      <w:r w:rsidRPr="003E29C0">
        <w:rPr>
          <w:lang w:val="en-GB"/>
        </w:rPr>
        <w:t xml:space="preserve">Age management practices were not found to be part of the systematic strategy of the surveyed companies, which is in line with the research of Fuertes et al. (2013); </w:t>
      </w:r>
      <w:proofErr w:type="spellStart"/>
      <w:r w:rsidRPr="003E29C0">
        <w:rPr>
          <w:lang w:val="en-GB"/>
        </w:rPr>
        <w:t>Egdell</w:t>
      </w:r>
      <w:proofErr w:type="spellEnd"/>
      <w:r w:rsidRPr="003E29C0">
        <w:rPr>
          <w:lang w:val="en-GB"/>
        </w:rPr>
        <w:t xml:space="preserve"> et al. (2020). Ciutiene</w:t>
      </w:r>
      <w:r w:rsidR="0006653C" w:rsidRPr="003E29C0">
        <w:rPr>
          <w:lang w:val="en-GB"/>
        </w:rPr>
        <w:t xml:space="preserve"> </w:t>
      </w:r>
      <w:r w:rsidR="0006653C" w:rsidRPr="003E29C0">
        <w:rPr>
          <w:szCs w:val="18"/>
        </w:rPr>
        <w:t>&amp;</w:t>
      </w:r>
      <w:r w:rsidRPr="003E29C0">
        <w:rPr>
          <w:lang w:val="en-GB"/>
        </w:rPr>
        <w:t xml:space="preserve"> Railaite (2015) add to the above that health management and flexible working arrangements, although these are considered pivotal in human resource management with age diversity, rank among the weakest points in particular organizations. An interesting fact to note is that the age of HR managers does not play a </w:t>
      </w:r>
      <w:r w:rsidR="001418AA" w:rsidRPr="003E29C0">
        <w:rPr>
          <w:lang w:val="en-GB"/>
        </w:rPr>
        <w:t>unique</w:t>
      </w:r>
      <w:r w:rsidRPr="003E29C0">
        <w:rPr>
          <w:lang w:val="en-GB"/>
        </w:rPr>
        <w:t xml:space="preserve"> role in the implementation of age management initiatives (Principi et al., 2015). </w:t>
      </w:r>
      <w:proofErr w:type="spellStart"/>
      <w:r w:rsidRPr="003E29C0">
        <w:rPr>
          <w:lang w:val="en-GB"/>
        </w:rPr>
        <w:t>Frerichs</w:t>
      </w:r>
      <w:proofErr w:type="spellEnd"/>
      <w:r w:rsidRPr="003E29C0">
        <w:rPr>
          <w:lang w:val="en-GB"/>
        </w:rPr>
        <w:t xml:space="preserve"> et al. (2012) did not reveal a general trend towards integrated age management in their analysis of 83 case studies on age management. This implies that the impact of the aging workforce is</w:t>
      </w:r>
      <w:r w:rsidR="006E1C11" w:rsidRPr="003E29C0">
        <w:rPr>
          <w:lang w:val="en-GB"/>
        </w:rPr>
        <w:t> </w:t>
      </w:r>
      <w:r w:rsidRPr="003E29C0">
        <w:rPr>
          <w:lang w:val="en-GB"/>
        </w:rPr>
        <w:t>an</w:t>
      </w:r>
      <w:r w:rsidR="006E1C11" w:rsidRPr="003E29C0">
        <w:rPr>
          <w:lang w:val="en-GB"/>
        </w:rPr>
        <w:t> </w:t>
      </w:r>
      <w:r w:rsidRPr="003E29C0">
        <w:rPr>
          <w:lang w:val="en-GB"/>
        </w:rPr>
        <w:t>international issue (</w:t>
      </w:r>
      <w:proofErr w:type="spellStart"/>
      <w:r w:rsidRPr="003E29C0">
        <w:rPr>
          <w:lang w:val="en-GB"/>
        </w:rPr>
        <w:t>Egdell</w:t>
      </w:r>
      <w:proofErr w:type="spellEnd"/>
      <w:r w:rsidRPr="003E29C0">
        <w:rPr>
          <w:lang w:val="en-GB"/>
        </w:rPr>
        <w:t xml:space="preserve"> et al., 2020) and needs to be further addressed at the organizational level.</w:t>
      </w:r>
    </w:p>
    <w:p w14:paraId="3259D97D" w14:textId="1336EA7D" w:rsidR="00024BD7" w:rsidRPr="003E29C0" w:rsidRDefault="00D449F5" w:rsidP="00D449F5">
      <w:pPr>
        <w:pStyle w:val="HED-text"/>
        <w:rPr>
          <w:lang w:val="en-GB"/>
        </w:rPr>
      </w:pPr>
      <w:r w:rsidRPr="003E29C0">
        <w:rPr>
          <w:lang w:val="en-GB"/>
        </w:rPr>
        <w:t>Despite the worsening economic situation of organizations and the need for layoffs, it</w:t>
      </w:r>
      <w:r w:rsidR="006E1C11" w:rsidRPr="003E29C0">
        <w:rPr>
          <w:lang w:val="en-GB"/>
        </w:rPr>
        <w:t> </w:t>
      </w:r>
      <w:r w:rsidRPr="003E29C0">
        <w:rPr>
          <w:lang w:val="en-GB"/>
        </w:rPr>
        <w:t>is</w:t>
      </w:r>
      <w:r w:rsidR="006E1C11" w:rsidRPr="003E29C0">
        <w:rPr>
          <w:lang w:val="en-GB"/>
        </w:rPr>
        <w:t> </w:t>
      </w:r>
      <w:r w:rsidRPr="003E29C0">
        <w:rPr>
          <w:lang w:val="en-GB"/>
        </w:rPr>
        <w:t>necessary for the management of organizations to focus primarily on the possibility of</w:t>
      </w:r>
      <w:r w:rsidR="006E1C11" w:rsidRPr="003E29C0">
        <w:rPr>
          <w:lang w:val="en-GB"/>
        </w:rPr>
        <w:t> </w:t>
      </w:r>
      <w:r w:rsidRPr="003E29C0">
        <w:rPr>
          <w:lang w:val="en-GB"/>
        </w:rPr>
        <w:t>optimizing the number of working hours (the preference for shared jobs, part-time jobs, etc.) without age discrimination (i.e., for example, the targeted layoffs of 50+ employees, where the risk of sick leave associated with the COVID-19 disease or long-term health consequences after contracting it is expected to be higher.</w:t>
      </w:r>
    </w:p>
    <w:bookmarkEnd w:id="0"/>
    <w:bookmarkEnd w:id="1"/>
    <w:p w14:paraId="3BF94CBA" w14:textId="77777777" w:rsidR="00101D43" w:rsidRPr="003E29C0" w:rsidRDefault="00101D43" w:rsidP="009F7957">
      <w:pPr>
        <w:pStyle w:val="HED-heading1"/>
        <w:rPr>
          <w:lang w:val="en-GB"/>
        </w:rPr>
      </w:pPr>
      <w:r w:rsidRPr="003E29C0">
        <w:rPr>
          <w:lang w:val="en-GB"/>
        </w:rPr>
        <w:t>5. Conclusions</w:t>
      </w:r>
    </w:p>
    <w:p w14:paraId="4854418F" w14:textId="42A1BD55" w:rsidR="00D449F5" w:rsidRPr="003E29C0" w:rsidRDefault="00D449F5" w:rsidP="00D449F5">
      <w:pPr>
        <w:pStyle w:val="HED-text"/>
        <w:rPr>
          <w:lang w:val="en-GB"/>
        </w:rPr>
      </w:pPr>
      <w:r w:rsidRPr="003E29C0">
        <w:rPr>
          <w:lang w:val="en-GB"/>
        </w:rPr>
        <w:t>The results from the sample of organizations examined have shown that the factors (size, sector, turnover, etc.) do not influence the application of age management. The benefits of</w:t>
      </w:r>
      <w:r w:rsidR="00123D04" w:rsidRPr="003E29C0">
        <w:rPr>
          <w:lang w:val="en-GB"/>
        </w:rPr>
        <w:t> </w:t>
      </w:r>
      <w:r w:rsidRPr="003E29C0">
        <w:rPr>
          <w:lang w:val="en-GB"/>
        </w:rPr>
        <w:t xml:space="preserve">applying age management outweigh the risks. The </w:t>
      </w:r>
      <w:r w:rsidR="001418AA" w:rsidRPr="003E29C0">
        <w:rPr>
          <w:lang w:val="en-GB"/>
        </w:rPr>
        <w:t>most significan</w:t>
      </w:r>
      <w:r w:rsidRPr="003E29C0">
        <w:rPr>
          <w:lang w:val="en-GB"/>
        </w:rPr>
        <w:t xml:space="preserve">t </w:t>
      </w:r>
      <w:r w:rsidR="001418AA" w:rsidRPr="003E29C0">
        <w:rPr>
          <w:lang w:val="en-GB"/>
        </w:rPr>
        <w:t>advantage</w:t>
      </w:r>
      <w:r w:rsidRPr="003E29C0">
        <w:rPr>
          <w:lang w:val="en-GB"/>
        </w:rPr>
        <w:t xml:space="preserve"> of having all generations of employees collaborating in organizations is improving employee motivation and performance (67%) and improving performance (59%); however, the management of organizations must primarily concentrate on aligning the values of</w:t>
      </w:r>
      <w:r w:rsidR="00584A7B" w:rsidRPr="003E29C0">
        <w:rPr>
          <w:lang w:val="en-GB"/>
        </w:rPr>
        <w:t> </w:t>
      </w:r>
      <w:r w:rsidRPr="003E29C0">
        <w:rPr>
          <w:lang w:val="en-GB"/>
        </w:rPr>
        <w:t>employees and employers. The risks include the need for increased communication and social interaction, the increased demands on knowledge transfer</w:t>
      </w:r>
      <w:r w:rsidR="001418AA" w:rsidRPr="003E29C0">
        <w:rPr>
          <w:lang w:val="en-GB"/>
        </w:rPr>
        <w:t>,</w:t>
      </w:r>
      <w:r w:rsidRPr="003E29C0">
        <w:rPr>
          <w:lang w:val="en-GB"/>
        </w:rPr>
        <w:t xml:space="preserve"> or, in the COVID-19 era, the increased negative stereotyping of employees. It is necessary that the area of human resource management becomes an integral part of the strategic orientation of the organization and that individual HR activities are carried out not only at the sub-managerial level but with the comprehensive view of developing the entire organization in the years to come.</w:t>
      </w:r>
    </w:p>
    <w:p w14:paraId="426C8430" w14:textId="77777777" w:rsidR="005359B4" w:rsidRDefault="00D449F5" w:rsidP="00123D04">
      <w:pPr>
        <w:pStyle w:val="HED-text"/>
        <w:rPr>
          <w:lang w:val="en-GB"/>
        </w:rPr>
      </w:pPr>
      <w:r w:rsidRPr="003E29C0">
        <w:rPr>
          <w:lang w:val="en-GB"/>
        </w:rPr>
        <w:t>The theoretical contribution of the article lies in comparing the benefits and risks of age management identified in international research. The practical contribution of the article consists in presenting the results of age management application and the identification of</w:t>
      </w:r>
      <w:r w:rsidR="00123D04" w:rsidRPr="003E29C0">
        <w:rPr>
          <w:lang w:val="en-GB"/>
        </w:rPr>
        <w:t> </w:t>
      </w:r>
      <w:r w:rsidRPr="003E29C0">
        <w:rPr>
          <w:lang w:val="en-GB"/>
        </w:rPr>
        <w:t>benefits and risks in the studied Czech organizations. Further research will be aimed at the changes in career planning and management in the COVID-19 era</w:t>
      </w:r>
      <w:r w:rsidR="00123D04" w:rsidRPr="003E29C0">
        <w:rPr>
          <w:lang w:val="en-GB"/>
        </w:rPr>
        <w:t>.</w:t>
      </w:r>
    </w:p>
    <w:p w14:paraId="15F2447E" w14:textId="77777777" w:rsidR="005359B4" w:rsidRDefault="005359B4" w:rsidP="005359B4">
      <w:pPr>
        <w:pStyle w:val="HED-acknowledgments"/>
      </w:pPr>
      <w:r w:rsidRPr="005359B4">
        <w:rPr>
          <w:b/>
        </w:rPr>
        <w:t>Conflict of interest:</w:t>
      </w:r>
      <w:r w:rsidRPr="005359B4">
        <w:t xml:space="preserve"> none</w:t>
      </w:r>
    </w:p>
    <w:p w14:paraId="76BF833A" w14:textId="68120261" w:rsidR="00123D04" w:rsidRPr="003E29C0" w:rsidRDefault="00123D04" w:rsidP="005359B4">
      <w:pPr>
        <w:pStyle w:val="HED-acknowledgments"/>
      </w:pPr>
      <w:r w:rsidRPr="003E29C0">
        <w:br w:type="page"/>
      </w:r>
    </w:p>
    <w:p w14:paraId="25285591" w14:textId="101452F7" w:rsidR="00101D43" w:rsidRPr="003E29C0" w:rsidRDefault="00101D43" w:rsidP="009F7957">
      <w:pPr>
        <w:pStyle w:val="HED-heading1"/>
        <w:rPr>
          <w:lang w:val="en-GB"/>
        </w:rPr>
      </w:pPr>
      <w:r w:rsidRPr="003E29C0">
        <w:rPr>
          <w:lang w:val="en-GB"/>
        </w:rPr>
        <w:lastRenderedPageBreak/>
        <w:t>References</w:t>
      </w:r>
    </w:p>
    <w:p w14:paraId="33CAC429" w14:textId="77777777" w:rsidR="00D449F5" w:rsidRPr="003E29C0" w:rsidRDefault="00D449F5" w:rsidP="00D449F5">
      <w:pPr>
        <w:pStyle w:val="HED-References"/>
        <w:rPr>
          <w:rFonts w:cstheme="minorHAnsi"/>
          <w:lang w:val="en-GB"/>
        </w:rPr>
      </w:pPr>
      <w:bookmarkStart w:id="2" w:name="OLE_LINK3"/>
      <w:proofErr w:type="spellStart"/>
      <w:r w:rsidRPr="003E29C0">
        <w:rPr>
          <w:rFonts w:cstheme="minorHAnsi"/>
          <w:lang w:val="en-GB"/>
        </w:rPr>
        <w:t>Akkermans</w:t>
      </w:r>
      <w:proofErr w:type="spellEnd"/>
      <w:r w:rsidRPr="003E29C0">
        <w:rPr>
          <w:rFonts w:cstheme="minorHAnsi"/>
          <w:lang w:val="en-GB"/>
        </w:rPr>
        <w:t xml:space="preserve">, J., Richardson, J., &amp; </w:t>
      </w:r>
      <w:proofErr w:type="spellStart"/>
      <w:r w:rsidRPr="003E29C0">
        <w:rPr>
          <w:rFonts w:cstheme="minorHAnsi"/>
          <w:lang w:val="en-GB"/>
        </w:rPr>
        <w:t>Kraimer</w:t>
      </w:r>
      <w:proofErr w:type="spellEnd"/>
      <w:r w:rsidRPr="003E29C0">
        <w:rPr>
          <w:rFonts w:cstheme="minorHAnsi"/>
          <w:lang w:val="en-GB"/>
        </w:rPr>
        <w:t xml:space="preserve">, M. L. (2020). The Covid-19 crisis as a career shock: Implications for careers and vocational </w:t>
      </w:r>
      <w:proofErr w:type="spellStart"/>
      <w:r w:rsidRPr="003E29C0">
        <w:rPr>
          <w:rFonts w:cstheme="minorHAnsi"/>
          <w:lang w:val="en-GB"/>
        </w:rPr>
        <w:t>behavior</w:t>
      </w:r>
      <w:proofErr w:type="spellEnd"/>
      <w:r w:rsidRPr="003E29C0">
        <w:rPr>
          <w:rFonts w:cstheme="minorHAnsi"/>
          <w:lang w:val="en-GB"/>
        </w:rPr>
        <w:t xml:space="preserve">. </w:t>
      </w:r>
      <w:r w:rsidRPr="003E29C0">
        <w:rPr>
          <w:rFonts w:cstheme="minorHAnsi"/>
          <w:i/>
          <w:iCs/>
          <w:lang w:val="en-GB"/>
        </w:rPr>
        <w:t xml:space="preserve">Journal of Vocational </w:t>
      </w:r>
      <w:proofErr w:type="spellStart"/>
      <w:r w:rsidRPr="003E29C0">
        <w:rPr>
          <w:rFonts w:cstheme="minorHAnsi"/>
          <w:i/>
          <w:iCs/>
          <w:lang w:val="en-GB"/>
        </w:rPr>
        <w:t>Behavior</w:t>
      </w:r>
      <w:proofErr w:type="spellEnd"/>
      <w:r w:rsidRPr="003E29C0">
        <w:rPr>
          <w:rFonts w:cstheme="minorHAnsi"/>
          <w:lang w:val="en-GB"/>
        </w:rPr>
        <w:t xml:space="preserve">, </w:t>
      </w:r>
      <w:r w:rsidRPr="003E29C0">
        <w:rPr>
          <w:rFonts w:cstheme="minorHAnsi"/>
          <w:i/>
          <w:iCs/>
          <w:lang w:val="en-GB"/>
        </w:rPr>
        <w:t>119</w:t>
      </w:r>
      <w:r w:rsidRPr="003E29C0">
        <w:rPr>
          <w:rFonts w:cstheme="minorHAnsi"/>
          <w:lang w:val="en-GB"/>
        </w:rPr>
        <w:t>, 103434. https://doi.org/10.1016/j.jvb.2020.103434</w:t>
      </w:r>
    </w:p>
    <w:p w14:paraId="04D42E18" w14:textId="77777777" w:rsidR="00D449F5" w:rsidRPr="003E29C0" w:rsidRDefault="00D449F5" w:rsidP="00D449F5">
      <w:pPr>
        <w:pStyle w:val="HED-References"/>
        <w:rPr>
          <w:rFonts w:cstheme="minorHAnsi"/>
          <w:lang w:val="en-GB"/>
        </w:rPr>
      </w:pPr>
      <w:proofErr w:type="spellStart"/>
      <w:r w:rsidRPr="003E29C0">
        <w:rPr>
          <w:rFonts w:cstheme="minorHAnsi"/>
          <w:lang w:val="en-GB"/>
        </w:rPr>
        <w:t>Aliaj</w:t>
      </w:r>
      <w:proofErr w:type="spellEnd"/>
      <w:r w:rsidRPr="003E29C0">
        <w:rPr>
          <w:rFonts w:cstheme="minorHAnsi"/>
          <w:lang w:val="en-GB"/>
        </w:rPr>
        <w:t xml:space="preserve">, A., </w:t>
      </w:r>
      <w:proofErr w:type="spellStart"/>
      <w:r w:rsidRPr="003E29C0">
        <w:rPr>
          <w:rFonts w:cstheme="minorHAnsi"/>
          <w:lang w:val="en-GB"/>
        </w:rPr>
        <w:t>Flawinne</w:t>
      </w:r>
      <w:proofErr w:type="spellEnd"/>
      <w:r w:rsidRPr="003E29C0">
        <w:rPr>
          <w:rFonts w:cstheme="minorHAnsi"/>
          <w:lang w:val="en-GB"/>
        </w:rPr>
        <w:t xml:space="preserve">, X., </w:t>
      </w:r>
      <w:proofErr w:type="spellStart"/>
      <w:r w:rsidRPr="003E29C0">
        <w:rPr>
          <w:rFonts w:cstheme="minorHAnsi"/>
          <w:lang w:val="en-GB"/>
        </w:rPr>
        <w:t>Jousten</w:t>
      </w:r>
      <w:proofErr w:type="spellEnd"/>
      <w:r w:rsidRPr="003E29C0">
        <w:rPr>
          <w:rFonts w:cstheme="minorHAnsi"/>
          <w:lang w:val="en-GB"/>
        </w:rPr>
        <w:t>, A., Perelman, S., &amp; Shi, L. (2016). Old-age employment and hours of work trends: empirical analysis for four European countries. </w:t>
      </w:r>
      <w:r w:rsidRPr="003E29C0">
        <w:rPr>
          <w:rFonts w:cstheme="minorHAnsi"/>
          <w:i/>
          <w:iCs/>
          <w:lang w:val="en-GB"/>
        </w:rPr>
        <w:t xml:space="preserve">IZA Journal of European </w:t>
      </w:r>
      <w:proofErr w:type="spellStart"/>
      <w:r w:rsidRPr="003E29C0">
        <w:rPr>
          <w:rFonts w:cstheme="minorHAnsi"/>
          <w:i/>
          <w:iCs/>
          <w:lang w:val="en-GB"/>
        </w:rPr>
        <w:t>Labor</w:t>
      </w:r>
      <w:proofErr w:type="spellEnd"/>
      <w:r w:rsidRPr="003E29C0">
        <w:rPr>
          <w:rFonts w:cstheme="minorHAnsi"/>
          <w:i/>
          <w:iCs/>
          <w:lang w:val="en-GB"/>
        </w:rPr>
        <w:t xml:space="preserve"> Studies</w:t>
      </w:r>
      <w:r w:rsidRPr="003E29C0">
        <w:rPr>
          <w:rFonts w:cstheme="minorHAnsi"/>
          <w:lang w:val="en-GB"/>
        </w:rPr>
        <w:t>, </w:t>
      </w:r>
      <w:r w:rsidRPr="003E29C0">
        <w:rPr>
          <w:rFonts w:cstheme="minorHAnsi"/>
          <w:i/>
          <w:iCs/>
          <w:lang w:val="en-GB"/>
        </w:rPr>
        <w:t>5</w:t>
      </w:r>
      <w:r w:rsidRPr="003E29C0">
        <w:rPr>
          <w:rFonts w:cstheme="minorHAnsi"/>
          <w:lang w:val="en-GB"/>
        </w:rPr>
        <w:t>(1), 1–22. https://doi.org/10.1186/s40174-016-0066-1</w:t>
      </w:r>
    </w:p>
    <w:p w14:paraId="1B1B8944" w14:textId="77777777" w:rsidR="00D449F5" w:rsidRPr="003E29C0" w:rsidRDefault="00D449F5" w:rsidP="00D449F5">
      <w:pPr>
        <w:pStyle w:val="HED-References"/>
        <w:rPr>
          <w:rFonts w:cstheme="minorHAnsi"/>
          <w:lang w:val="en-GB"/>
        </w:rPr>
      </w:pPr>
      <w:r w:rsidRPr="003E29C0">
        <w:rPr>
          <w:rFonts w:cstheme="minorHAnsi"/>
          <w:lang w:val="en-GB"/>
        </w:rPr>
        <w:t>Atkinson, C., &amp; Sandiford, P. (2016). An exploration of older worker flexible working arrangements in smaller firms. </w:t>
      </w:r>
      <w:r w:rsidRPr="003E29C0">
        <w:rPr>
          <w:rFonts w:cstheme="minorHAnsi"/>
          <w:i/>
          <w:iCs/>
          <w:lang w:val="en-GB"/>
        </w:rPr>
        <w:t>Human Resource Management Journal</w:t>
      </w:r>
      <w:r w:rsidRPr="003E29C0">
        <w:rPr>
          <w:rFonts w:cstheme="minorHAnsi"/>
          <w:lang w:val="en-GB"/>
        </w:rPr>
        <w:t>, </w:t>
      </w:r>
      <w:r w:rsidRPr="003E29C0">
        <w:rPr>
          <w:rFonts w:cstheme="minorHAnsi"/>
          <w:i/>
          <w:iCs/>
          <w:lang w:val="en-GB"/>
        </w:rPr>
        <w:t>26</w:t>
      </w:r>
      <w:r w:rsidRPr="003E29C0">
        <w:rPr>
          <w:rFonts w:cstheme="minorHAnsi"/>
          <w:lang w:val="en-GB"/>
        </w:rPr>
        <w:t>(1), 12–28. https://doi.org/10.1111/1748-8583.12074</w:t>
      </w:r>
    </w:p>
    <w:p w14:paraId="0A6DACB4" w14:textId="77777777" w:rsidR="00D449F5" w:rsidRPr="003E29C0" w:rsidRDefault="00D449F5" w:rsidP="00D449F5">
      <w:pPr>
        <w:pStyle w:val="HED-References"/>
        <w:rPr>
          <w:rFonts w:cstheme="minorHAnsi"/>
          <w:lang w:val="en-GB"/>
        </w:rPr>
      </w:pPr>
      <w:r w:rsidRPr="003E29C0">
        <w:rPr>
          <w:rFonts w:cstheme="minorHAnsi"/>
          <w:lang w:val="en-GB"/>
        </w:rPr>
        <w:t xml:space="preserve">Ayalon, L., Chasteen, A., Diehl, M., Levy, B., Neupert, S. D., </w:t>
      </w:r>
      <w:proofErr w:type="spellStart"/>
      <w:r w:rsidRPr="003E29C0">
        <w:rPr>
          <w:rFonts w:cstheme="minorHAnsi"/>
          <w:lang w:val="en-GB"/>
        </w:rPr>
        <w:t>Rothermund</w:t>
      </w:r>
      <w:proofErr w:type="spellEnd"/>
      <w:r w:rsidRPr="003E29C0">
        <w:rPr>
          <w:rFonts w:cstheme="minorHAnsi"/>
          <w:lang w:val="en-GB"/>
        </w:rPr>
        <w:t>, K., ... &amp; Wahl, H. W. (2020). Aging in times of the COVID-19 pandemic: Avoiding ageism and fostering intergenerational solidarity. </w:t>
      </w:r>
      <w:r w:rsidRPr="003E29C0">
        <w:rPr>
          <w:rFonts w:cstheme="minorHAnsi"/>
          <w:i/>
          <w:iCs/>
          <w:lang w:val="en-GB"/>
        </w:rPr>
        <w:t>The Journals of Gerontology: Series B</w:t>
      </w:r>
      <w:r w:rsidRPr="003E29C0">
        <w:rPr>
          <w:rFonts w:cstheme="minorHAnsi"/>
          <w:lang w:val="en-GB"/>
        </w:rPr>
        <w:t xml:space="preserve">, </w:t>
      </w:r>
      <w:r w:rsidRPr="003E29C0">
        <w:rPr>
          <w:rFonts w:cstheme="minorHAnsi"/>
          <w:i/>
          <w:iCs/>
          <w:lang w:val="en-GB"/>
        </w:rPr>
        <w:t>76</w:t>
      </w:r>
      <w:r w:rsidRPr="003E29C0">
        <w:rPr>
          <w:rFonts w:cstheme="minorHAnsi"/>
          <w:lang w:val="en-GB"/>
        </w:rPr>
        <w:t>(2), 49–52. https://doi.org/10.1093/geronb/gbaa051</w:t>
      </w:r>
    </w:p>
    <w:p w14:paraId="2C87354E" w14:textId="77777777" w:rsidR="00D449F5" w:rsidRPr="003E29C0" w:rsidRDefault="00D449F5" w:rsidP="00D449F5">
      <w:pPr>
        <w:pStyle w:val="HED-References"/>
        <w:rPr>
          <w:rFonts w:cstheme="minorHAnsi"/>
          <w:lang w:val="en-GB"/>
        </w:rPr>
      </w:pPr>
      <w:r w:rsidRPr="003E29C0">
        <w:rPr>
          <w:rFonts w:cstheme="minorHAnsi"/>
          <w:lang w:val="en-GB"/>
        </w:rPr>
        <w:t>Aydin, S., &amp; Dube, M. (2018). Knowledge management, innovation, and competitive advantage: is the relationship in the eye of the beholder? </w:t>
      </w:r>
      <w:r w:rsidRPr="003E29C0">
        <w:rPr>
          <w:rFonts w:cstheme="minorHAnsi"/>
          <w:i/>
          <w:iCs/>
          <w:lang w:val="en-GB"/>
        </w:rPr>
        <w:t>Knowledge Management Research &amp; Practice</w:t>
      </w:r>
      <w:r w:rsidRPr="003E29C0">
        <w:rPr>
          <w:rFonts w:cstheme="minorHAnsi"/>
          <w:lang w:val="en-GB"/>
        </w:rPr>
        <w:t>, </w:t>
      </w:r>
      <w:r w:rsidRPr="003E29C0">
        <w:rPr>
          <w:rFonts w:cstheme="minorHAnsi"/>
          <w:i/>
          <w:iCs/>
          <w:lang w:val="en-GB"/>
        </w:rPr>
        <w:t>16</w:t>
      </w:r>
      <w:r w:rsidRPr="003E29C0">
        <w:rPr>
          <w:rFonts w:cstheme="minorHAnsi"/>
          <w:lang w:val="en-GB"/>
        </w:rPr>
        <w:t>(3), 402–413. https://doi.org/10.1080/14778238.2018.1496564</w:t>
      </w:r>
    </w:p>
    <w:p w14:paraId="5A14C8DA" w14:textId="77777777" w:rsidR="00D449F5" w:rsidRPr="003E29C0" w:rsidRDefault="00D449F5" w:rsidP="00D449F5">
      <w:pPr>
        <w:pStyle w:val="HED-References"/>
        <w:rPr>
          <w:rFonts w:cstheme="minorHAnsi"/>
          <w:lang w:val="en-GB"/>
        </w:rPr>
      </w:pPr>
      <w:r w:rsidRPr="003E29C0">
        <w:rPr>
          <w:rFonts w:cstheme="minorHAnsi"/>
          <w:lang w:val="en-GB"/>
        </w:rPr>
        <w:t>Bejtkovský, J. (2015). Age management and its implementation in banking institutions with regard to the concept of Corporate Social Responsibility. In </w:t>
      </w:r>
      <w:r w:rsidRPr="003E29C0">
        <w:rPr>
          <w:rFonts w:cstheme="minorHAnsi"/>
          <w:i/>
          <w:iCs/>
          <w:lang w:val="en-GB"/>
        </w:rPr>
        <w:t>18th International Conference Enterprise and Competitive Environment</w:t>
      </w:r>
      <w:r w:rsidRPr="003E29C0">
        <w:rPr>
          <w:rFonts w:cstheme="minorHAnsi"/>
          <w:lang w:val="en-GB"/>
        </w:rPr>
        <w:t xml:space="preserve"> (pp. 66–75). </w:t>
      </w:r>
      <w:proofErr w:type="spellStart"/>
      <w:r w:rsidRPr="003E29C0">
        <w:rPr>
          <w:rFonts w:cstheme="minorHAnsi"/>
          <w:lang w:val="en-GB"/>
        </w:rPr>
        <w:t>Mendelova</w:t>
      </w:r>
      <w:proofErr w:type="spellEnd"/>
      <w:r w:rsidRPr="003E29C0">
        <w:rPr>
          <w:rFonts w:cstheme="minorHAnsi"/>
          <w:lang w:val="en-GB"/>
        </w:rPr>
        <w:t xml:space="preserve"> </w:t>
      </w:r>
      <w:proofErr w:type="spellStart"/>
      <w:r w:rsidRPr="003E29C0">
        <w:rPr>
          <w:rFonts w:cstheme="minorHAnsi"/>
          <w:lang w:val="en-GB"/>
        </w:rPr>
        <w:t>univerzita</w:t>
      </w:r>
      <w:proofErr w:type="spellEnd"/>
      <w:r w:rsidRPr="003E29C0">
        <w:rPr>
          <w:rFonts w:cstheme="minorHAnsi"/>
          <w:lang w:val="en-GB"/>
        </w:rPr>
        <w:t xml:space="preserve"> v </w:t>
      </w:r>
      <w:proofErr w:type="spellStart"/>
      <w:r w:rsidRPr="003E29C0">
        <w:rPr>
          <w:rFonts w:cstheme="minorHAnsi"/>
          <w:lang w:val="en-GB"/>
        </w:rPr>
        <w:t>Brně</w:t>
      </w:r>
      <w:proofErr w:type="spellEnd"/>
      <w:r w:rsidRPr="003E29C0">
        <w:rPr>
          <w:rFonts w:cstheme="minorHAnsi"/>
          <w:lang w:val="en-GB"/>
        </w:rPr>
        <w:t>.</w:t>
      </w:r>
    </w:p>
    <w:p w14:paraId="6A6A3307" w14:textId="08F269C1" w:rsidR="00D449F5" w:rsidRPr="003E29C0" w:rsidRDefault="00D449F5" w:rsidP="00D449F5">
      <w:pPr>
        <w:pStyle w:val="HED-References"/>
        <w:rPr>
          <w:rFonts w:cstheme="minorHAnsi"/>
          <w:lang w:val="en-GB"/>
        </w:rPr>
      </w:pPr>
      <w:proofErr w:type="spellStart"/>
      <w:r w:rsidRPr="003E29C0">
        <w:rPr>
          <w:rFonts w:cstheme="minorHAnsi"/>
          <w:lang w:val="en-GB"/>
        </w:rPr>
        <w:t>Bilińska</w:t>
      </w:r>
      <w:proofErr w:type="spellEnd"/>
      <w:r w:rsidRPr="003E29C0">
        <w:rPr>
          <w:rFonts w:cstheme="minorHAnsi"/>
          <w:lang w:val="en-GB"/>
        </w:rPr>
        <w:t xml:space="preserve">-Reformat, K., &amp; </w:t>
      </w:r>
      <w:proofErr w:type="spellStart"/>
      <w:r w:rsidRPr="003E29C0">
        <w:rPr>
          <w:rFonts w:cstheme="minorHAnsi"/>
          <w:lang w:val="en-GB"/>
        </w:rPr>
        <w:t>Stańczyk</w:t>
      </w:r>
      <w:proofErr w:type="spellEnd"/>
      <w:r w:rsidRPr="003E29C0">
        <w:rPr>
          <w:rFonts w:cstheme="minorHAnsi"/>
          <w:lang w:val="en-GB"/>
        </w:rPr>
        <w:t xml:space="preserve">, I. (2018). Employer branding as a source of competitive advantage of retail chains. </w:t>
      </w:r>
      <w:r w:rsidRPr="003E29C0">
        <w:rPr>
          <w:rFonts w:cstheme="minorHAnsi"/>
          <w:i/>
          <w:iCs/>
          <w:lang w:val="en-GB"/>
        </w:rPr>
        <w:t>Central Europe</w:t>
      </w:r>
      <w:r w:rsidR="003D5B9E">
        <w:rPr>
          <w:rFonts w:cstheme="minorHAnsi"/>
          <w:i/>
          <w:iCs/>
          <w:lang w:val="en-GB"/>
        </w:rPr>
        <w:t>an Management Journal</w:t>
      </w:r>
      <w:r w:rsidRPr="003E29C0">
        <w:rPr>
          <w:rFonts w:cstheme="minorHAnsi"/>
          <w:lang w:val="en-GB"/>
        </w:rPr>
        <w:t>, </w:t>
      </w:r>
      <w:r w:rsidRPr="003E29C0">
        <w:rPr>
          <w:rFonts w:cstheme="minorHAnsi"/>
          <w:i/>
          <w:iCs/>
          <w:lang w:val="en-GB"/>
        </w:rPr>
        <w:t>26</w:t>
      </w:r>
      <w:r w:rsidRPr="003E29C0">
        <w:rPr>
          <w:rFonts w:cstheme="minorHAnsi"/>
          <w:lang w:val="en-GB"/>
        </w:rPr>
        <w:t>(1), 2–12. https://doi.org/10.7206/jmba.ce.2450-7814.216</w:t>
      </w:r>
    </w:p>
    <w:p w14:paraId="18DB8BA2" w14:textId="4785F071" w:rsidR="00270BDE" w:rsidRPr="003E29C0" w:rsidRDefault="00270BDE" w:rsidP="00270BDE">
      <w:pPr>
        <w:pStyle w:val="HED-References"/>
        <w:rPr>
          <w:rFonts w:cstheme="minorHAnsi"/>
          <w:lang w:val="en-GB"/>
        </w:rPr>
      </w:pPr>
      <w:proofErr w:type="spellStart"/>
      <w:r w:rsidRPr="003E29C0">
        <w:rPr>
          <w:rFonts w:cstheme="minorHAnsi"/>
          <w:lang w:val="en-GB"/>
        </w:rPr>
        <w:t>Birkinshaw</w:t>
      </w:r>
      <w:proofErr w:type="spellEnd"/>
      <w:r w:rsidRPr="003E29C0">
        <w:rPr>
          <w:rFonts w:cstheme="minorHAnsi"/>
          <w:lang w:val="en-GB"/>
        </w:rPr>
        <w:t xml:space="preserve">, J., </w:t>
      </w:r>
      <w:proofErr w:type="spellStart"/>
      <w:r w:rsidRPr="003E29C0">
        <w:rPr>
          <w:rFonts w:cstheme="minorHAnsi"/>
          <w:lang w:val="en-GB"/>
        </w:rPr>
        <w:t>Manktelow</w:t>
      </w:r>
      <w:proofErr w:type="spellEnd"/>
      <w:r w:rsidRPr="003E29C0">
        <w:rPr>
          <w:rFonts w:cstheme="minorHAnsi"/>
          <w:lang w:val="en-GB"/>
        </w:rPr>
        <w:t xml:space="preserve">, J., D’Amato, V., Tosca, E., &amp; </w:t>
      </w:r>
      <w:proofErr w:type="spellStart"/>
      <w:r w:rsidRPr="003E29C0">
        <w:rPr>
          <w:rFonts w:cstheme="minorHAnsi"/>
          <w:lang w:val="en-GB"/>
        </w:rPr>
        <w:t>Macchi</w:t>
      </w:r>
      <w:proofErr w:type="spellEnd"/>
      <w:r w:rsidRPr="003E29C0">
        <w:rPr>
          <w:rFonts w:cstheme="minorHAnsi"/>
          <w:lang w:val="en-GB"/>
        </w:rPr>
        <w:t>, F. (2019). Older and wiser? How management style varies with age. </w:t>
      </w:r>
      <w:r w:rsidRPr="003E29C0">
        <w:rPr>
          <w:rFonts w:cstheme="minorHAnsi"/>
          <w:i/>
          <w:iCs/>
          <w:lang w:val="en-GB"/>
        </w:rPr>
        <w:t>MIT Sloan management review</w:t>
      </w:r>
      <w:r w:rsidRPr="003E29C0">
        <w:rPr>
          <w:rFonts w:cstheme="minorHAnsi"/>
          <w:lang w:val="en-GB"/>
        </w:rPr>
        <w:t>, </w:t>
      </w:r>
      <w:r w:rsidRPr="003E29C0">
        <w:rPr>
          <w:rFonts w:cstheme="minorHAnsi"/>
          <w:i/>
          <w:iCs/>
          <w:lang w:val="en-GB"/>
        </w:rPr>
        <w:t>60</w:t>
      </w:r>
      <w:r w:rsidRPr="003E29C0">
        <w:rPr>
          <w:rFonts w:cstheme="minorHAnsi"/>
          <w:lang w:val="en-GB"/>
        </w:rPr>
        <w:t>(4), 75–81.</w:t>
      </w:r>
    </w:p>
    <w:p w14:paraId="07347999" w14:textId="7336D022" w:rsidR="00D449F5" w:rsidRPr="003E29C0" w:rsidRDefault="00D449F5" w:rsidP="00D449F5">
      <w:pPr>
        <w:pStyle w:val="HED-References"/>
        <w:rPr>
          <w:rFonts w:cstheme="minorHAnsi"/>
          <w:lang w:val="en-GB"/>
        </w:rPr>
      </w:pPr>
      <w:proofErr w:type="spellStart"/>
      <w:r w:rsidRPr="003E29C0">
        <w:rPr>
          <w:rFonts w:cstheme="minorHAnsi"/>
          <w:lang w:val="en-GB"/>
        </w:rPr>
        <w:t>Blomé</w:t>
      </w:r>
      <w:proofErr w:type="spellEnd"/>
      <w:r w:rsidRPr="003E29C0">
        <w:rPr>
          <w:rFonts w:cstheme="minorHAnsi"/>
          <w:lang w:val="en-GB"/>
        </w:rPr>
        <w:t xml:space="preserve">, M. W., </w:t>
      </w:r>
      <w:proofErr w:type="spellStart"/>
      <w:r w:rsidRPr="003E29C0">
        <w:rPr>
          <w:rFonts w:cstheme="minorHAnsi"/>
          <w:lang w:val="en-GB"/>
        </w:rPr>
        <w:t>Borell</w:t>
      </w:r>
      <w:proofErr w:type="spellEnd"/>
      <w:r w:rsidRPr="003E29C0">
        <w:rPr>
          <w:rFonts w:cstheme="minorHAnsi"/>
          <w:lang w:val="en-GB"/>
        </w:rPr>
        <w:t xml:space="preserve">, J., </w:t>
      </w:r>
      <w:proofErr w:type="spellStart"/>
      <w:r w:rsidRPr="003E29C0">
        <w:rPr>
          <w:rFonts w:cstheme="minorHAnsi"/>
          <w:lang w:val="en-GB"/>
        </w:rPr>
        <w:t>Håkansson</w:t>
      </w:r>
      <w:proofErr w:type="spellEnd"/>
      <w:r w:rsidRPr="003E29C0">
        <w:rPr>
          <w:rFonts w:cstheme="minorHAnsi"/>
          <w:lang w:val="en-GB"/>
        </w:rPr>
        <w:t>, C., &amp; Nilsson, K. (2018). Attitudes toward elderly workers and perceptions of integrated age management practices. </w:t>
      </w:r>
      <w:r w:rsidRPr="003E29C0">
        <w:rPr>
          <w:rFonts w:cstheme="minorHAnsi"/>
          <w:i/>
          <w:iCs/>
          <w:lang w:val="en-GB"/>
        </w:rPr>
        <w:t>International Journal of Occupational Safety and Ergonomics</w:t>
      </w:r>
      <w:r w:rsidRPr="003E29C0">
        <w:rPr>
          <w:rFonts w:cstheme="minorHAnsi"/>
          <w:lang w:val="en-GB"/>
        </w:rPr>
        <w:t xml:space="preserve">, </w:t>
      </w:r>
      <w:r w:rsidRPr="003E29C0">
        <w:rPr>
          <w:rFonts w:cstheme="minorHAnsi"/>
          <w:i/>
          <w:iCs/>
          <w:lang w:val="en-GB"/>
        </w:rPr>
        <w:t>26</w:t>
      </w:r>
      <w:r w:rsidRPr="003E29C0">
        <w:rPr>
          <w:rFonts w:cstheme="minorHAnsi"/>
          <w:lang w:val="en-GB"/>
        </w:rPr>
        <w:t>(1), 112–120. https://doi.org/10.1080/10803548.2018.1514135</w:t>
      </w:r>
    </w:p>
    <w:p w14:paraId="0329A533" w14:textId="77777777" w:rsidR="00D449F5" w:rsidRPr="003E29C0" w:rsidRDefault="00D449F5" w:rsidP="00D449F5">
      <w:pPr>
        <w:pStyle w:val="HED-References"/>
        <w:rPr>
          <w:rFonts w:cstheme="minorHAnsi"/>
          <w:lang w:val="en-GB"/>
        </w:rPr>
      </w:pPr>
      <w:proofErr w:type="spellStart"/>
      <w:r w:rsidRPr="003E29C0">
        <w:rPr>
          <w:rFonts w:cstheme="minorHAnsi"/>
          <w:lang w:val="en-GB"/>
        </w:rPr>
        <w:t>Bolisani</w:t>
      </w:r>
      <w:proofErr w:type="spellEnd"/>
      <w:r w:rsidRPr="003E29C0">
        <w:rPr>
          <w:rFonts w:cstheme="minorHAnsi"/>
          <w:lang w:val="en-GB"/>
        </w:rPr>
        <w:t xml:space="preserve">, E., &amp; </w:t>
      </w:r>
      <w:proofErr w:type="spellStart"/>
      <w:r w:rsidRPr="003E29C0">
        <w:rPr>
          <w:rFonts w:cstheme="minorHAnsi"/>
          <w:lang w:val="en-GB"/>
        </w:rPr>
        <w:t>Bratianu</w:t>
      </w:r>
      <w:proofErr w:type="spellEnd"/>
      <w:r w:rsidRPr="003E29C0">
        <w:rPr>
          <w:rFonts w:cstheme="minorHAnsi"/>
          <w:lang w:val="en-GB"/>
        </w:rPr>
        <w:t>, C. (2017). Knowledge strategy planning: an integrated approach to manage uncertainty, turbulence, and dynamics. </w:t>
      </w:r>
      <w:r w:rsidRPr="003E29C0">
        <w:rPr>
          <w:rFonts w:cstheme="minorHAnsi"/>
          <w:i/>
          <w:iCs/>
          <w:lang w:val="en-GB"/>
        </w:rPr>
        <w:t>Journal of Knowledge Management</w:t>
      </w:r>
      <w:r w:rsidRPr="003E29C0">
        <w:rPr>
          <w:rFonts w:cstheme="minorHAnsi"/>
          <w:lang w:val="en-GB"/>
        </w:rPr>
        <w:t xml:space="preserve">, </w:t>
      </w:r>
      <w:r w:rsidRPr="003E29C0">
        <w:rPr>
          <w:rFonts w:cstheme="minorHAnsi"/>
          <w:i/>
          <w:iCs/>
          <w:lang w:val="en-GB"/>
        </w:rPr>
        <w:t>21</w:t>
      </w:r>
      <w:r w:rsidRPr="003E29C0">
        <w:rPr>
          <w:rFonts w:cstheme="minorHAnsi"/>
          <w:lang w:val="en-GB"/>
        </w:rPr>
        <w:t>(2), 233–255. https://doi.org/10.1108/JKM-02-2016-0071</w:t>
      </w:r>
    </w:p>
    <w:p w14:paraId="6FB334FF" w14:textId="77777777" w:rsidR="00D449F5" w:rsidRPr="003E29C0" w:rsidRDefault="00D449F5" w:rsidP="00D449F5">
      <w:pPr>
        <w:pStyle w:val="HED-References"/>
        <w:rPr>
          <w:rFonts w:cstheme="minorHAnsi"/>
          <w:lang w:val="en-GB"/>
        </w:rPr>
      </w:pPr>
      <w:r w:rsidRPr="003E29C0">
        <w:rPr>
          <w:rFonts w:cstheme="minorHAnsi"/>
          <w:lang w:val="en-GB"/>
        </w:rPr>
        <w:t>Ciutiene, R., &amp; Railaite, R. (2015). Age management as a means of reducing the challenges of workforce aging. </w:t>
      </w:r>
      <w:r w:rsidRPr="003E29C0">
        <w:rPr>
          <w:rFonts w:cstheme="minorHAnsi"/>
          <w:i/>
          <w:iCs/>
          <w:lang w:val="en-GB"/>
        </w:rPr>
        <w:t>Engineering Economics</w:t>
      </w:r>
      <w:r w:rsidRPr="003E29C0">
        <w:rPr>
          <w:rFonts w:cstheme="minorHAnsi"/>
          <w:lang w:val="en-GB"/>
        </w:rPr>
        <w:t>, </w:t>
      </w:r>
      <w:r w:rsidRPr="003E29C0">
        <w:rPr>
          <w:rFonts w:cstheme="minorHAnsi"/>
          <w:i/>
          <w:iCs/>
          <w:lang w:val="en-GB"/>
        </w:rPr>
        <w:t>26</w:t>
      </w:r>
      <w:r w:rsidRPr="003E29C0">
        <w:rPr>
          <w:rFonts w:cstheme="minorHAnsi"/>
          <w:lang w:val="en-GB"/>
        </w:rPr>
        <w:t>(4), 391–397. https://doi.org/10.5755/j01.ee.26.4.7081</w:t>
      </w:r>
    </w:p>
    <w:p w14:paraId="4904FF91" w14:textId="4963CCA4" w:rsidR="00D449F5" w:rsidRPr="003E29C0" w:rsidRDefault="00D449F5" w:rsidP="00D449F5">
      <w:pPr>
        <w:pStyle w:val="HED-References"/>
        <w:rPr>
          <w:rFonts w:cstheme="minorHAnsi"/>
          <w:lang w:val="en-GB"/>
        </w:rPr>
      </w:pPr>
      <w:proofErr w:type="spellStart"/>
      <w:r w:rsidRPr="003E29C0">
        <w:rPr>
          <w:rFonts w:cstheme="minorHAnsi"/>
          <w:lang w:val="en-GB"/>
        </w:rPr>
        <w:t>Conen</w:t>
      </w:r>
      <w:proofErr w:type="spellEnd"/>
      <w:r w:rsidRPr="003E29C0">
        <w:rPr>
          <w:rFonts w:cstheme="minorHAnsi"/>
          <w:lang w:val="en-GB"/>
        </w:rPr>
        <w:t xml:space="preserve">, W. S., </w:t>
      </w:r>
      <w:proofErr w:type="spellStart"/>
      <w:r w:rsidRPr="003E29C0">
        <w:rPr>
          <w:rFonts w:cstheme="minorHAnsi"/>
          <w:lang w:val="en-GB"/>
        </w:rPr>
        <w:t>Henkens</w:t>
      </w:r>
      <w:proofErr w:type="spellEnd"/>
      <w:r w:rsidRPr="003E29C0">
        <w:rPr>
          <w:rFonts w:cstheme="minorHAnsi"/>
          <w:lang w:val="en-GB"/>
        </w:rPr>
        <w:t xml:space="preserve">, K., &amp; Schippers, J. J. (2011). Are employers changing their </w:t>
      </w:r>
      <w:proofErr w:type="spellStart"/>
      <w:r w:rsidRPr="003E29C0">
        <w:rPr>
          <w:rFonts w:cstheme="minorHAnsi"/>
          <w:lang w:val="en-GB"/>
        </w:rPr>
        <w:t>behavior</w:t>
      </w:r>
      <w:proofErr w:type="spellEnd"/>
      <w:r w:rsidRPr="003E29C0">
        <w:rPr>
          <w:rFonts w:cstheme="minorHAnsi"/>
          <w:lang w:val="en-GB"/>
        </w:rPr>
        <w:t xml:space="preserve"> toward older workers? An analysis of employers</w:t>
      </w:r>
      <w:r w:rsidR="001418AA" w:rsidRPr="003E29C0">
        <w:rPr>
          <w:rFonts w:cstheme="minorHAnsi"/>
          <w:lang w:val="en-GB"/>
        </w:rPr>
        <w:t>’</w:t>
      </w:r>
      <w:r w:rsidRPr="003E29C0">
        <w:rPr>
          <w:rFonts w:cstheme="minorHAnsi"/>
          <w:lang w:val="en-GB"/>
        </w:rPr>
        <w:t xml:space="preserve"> surveys 2000–2009. </w:t>
      </w:r>
      <w:r w:rsidRPr="003E29C0">
        <w:rPr>
          <w:rFonts w:cstheme="minorHAnsi"/>
          <w:i/>
          <w:iCs/>
          <w:lang w:val="en-GB"/>
        </w:rPr>
        <w:t>Journal of aging &amp; social policy</w:t>
      </w:r>
      <w:r w:rsidRPr="003E29C0">
        <w:rPr>
          <w:rFonts w:cstheme="minorHAnsi"/>
          <w:lang w:val="en-GB"/>
        </w:rPr>
        <w:t>, </w:t>
      </w:r>
      <w:r w:rsidRPr="003E29C0">
        <w:rPr>
          <w:rFonts w:cstheme="minorHAnsi"/>
          <w:i/>
          <w:iCs/>
          <w:lang w:val="en-GB"/>
        </w:rPr>
        <w:t>23</w:t>
      </w:r>
      <w:r w:rsidRPr="003E29C0">
        <w:rPr>
          <w:rFonts w:cstheme="minorHAnsi"/>
          <w:lang w:val="en-GB"/>
        </w:rPr>
        <w:t>(2), 141–158. https://doi.org/10.1080/08959420.2011.551612</w:t>
      </w:r>
    </w:p>
    <w:p w14:paraId="6600118A" w14:textId="77777777" w:rsidR="0069710B" w:rsidRPr="003E29C0" w:rsidRDefault="0069710B" w:rsidP="0069710B">
      <w:pPr>
        <w:pStyle w:val="HED-References"/>
        <w:rPr>
          <w:rFonts w:cstheme="minorHAnsi"/>
          <w:lang w:val="en-GB"/>
        </w:rPr>
      </w:pPr>
      <w:r w:rsidRPr="003E29C0">
        <w:rPr>
          <w:rFonts w:cstheme="minorHAnsi"/>
          <w:lang w:val="en-GB"/>
        </w:rPr>
        <w:t xml:space="preserve">Chalupa, S., &amp; </w:t>
      </w:r>
      <w:proofErr w:type="spellStart"/>
      <w:r w:rsidRPr="003E29C0">
        <w:rPr>
          <w:rFonts w:cstheme="minorHAnsi"/>
          <w:lang w:val="en-GB"/>
        </w:rPr>
        <w:t>Petříček</w:t>
      </w:r>
      <w:proofErr w:type="spellEnd"/>
      <w:r w:rsidRPr="003E29C0">
        <w:rPr>
          <w:rFonts w:cstheme="minorHAnsi"/>
          <w:lang w:val="en-GB"/>
        </w:rPr>
        <w:t>, M. (2020). The Application of Business Process Management in the Hospitality Industry: A Case Study. </w:t>
      </w:r>
      <w:r w:rsidRPr="003E29C0">
        <w:rPr>
          <w:rFonts w:cstheme="minorHAnsi"/>
          <w:i/>
          <w:iCs/>
          <w:lang w:val="en-GB"/>
        </w:rPr>
        <w:t>IBIMA Bus. Rev</w:t>
      </w:r>
      <w:r w:rsidRPr="003E29C0">
        <w:rPr>
          <w:rFonts w:cstheme="minorHAnsi"/>
          <w:lang w:val="en-GB"/>
        </w:rPr>
        <w:t>, 1–11. https://doi.org/10.5171/2020.301930</w:t>
      </w:r>
    </w:p>
    <w:p w14:paraId="5FCD41DA" w14:textId="77777777" w:rsidR="00D449F5" w:rsidRPr="003E29C0" w:rsidRDefault="00D449F5" w:rsidP="00D449F5">
      <w:pPr>
        <w:pStyle w:val="HED-References"/>
        <w:rPr>
          <w:rFonts w:cstheme="minorHAnsi"/>
          <w:lang w:val="en-GB"/>
        </w:rPr>
      </w:pPr>
      <w:proofErr w:type="spellStart"/>
      <w:r w:rsidRPr="003E29C0">
        <w:rPr>
          <w:rFonts w:cstheme="minorHAnsi"/>
          <w:lang w:val="en-GB"/>
        </w:rPr>
        <w:t>Dordoni</w:t>
      </w:r>
      <w:proofErr w:type="spellEnd"/>
      <w:r w:rsidRPr="003E29C0">
        <w:rPr>
          <w:rFonts w:cstheme="minorHAnsi"/>
          <w:lang w:val="en-GB"/>
        </w:rPr>
        <w:t xml:space="preserve">, P., &amp; </w:t>
      </w:r>
      <w:proofErr w:type="spellStart"/>
      <w:r w:rsidRPr="003E29C0">
        <w:rPr>
          <w:rFonts w:cstheme="minorHAnsi"/>
          <w:lang w:val="en-GB"/>
        </w:rPr>
        <w:t>Argentero</w:t>
      </w:r>
      <w:proofErr w:type="spellEnd"/>
      <w:r w:rsidRPr="003E29C0">
        <w:rPr>
          <w:rFonts w:cstheme="minorHAnsi"/>
          <w:lang w:val="en-GB"/>
        </w:rPr>
        <w:t>, P. (2015). When age stereotypes are employment barriers: a conceptual analysis and a literature review on older workers stereotypes. </w:t>
      </w:r>
      <w:r w:rsidRPr="003E29C0">
        <w:rPr>
          <w:rFonts w:cstheme="minorHAnsi"/>
          <w:i/>
          <w:iCs/>
          <w:lang w:val="en-GB"/>
        </w:rPr>
        <w:t>Ageing International</w:t>
      </w:r>
      <w:r w:rsidRPr="003E29C0">
        <w:rPr>
          <w:rFonts w:cstheme="minorHAnsi"/>
          <w:lang w:val="en-GB"/>
        </w:rPr>
        <w:t>, </w:t>
      </w:r>
      <w:r w:rsidRPr="003E29C0">
        <w:rPr>
          <w:rFonts w:cstheme="minorHAnsi"/>
          <w:i/>
          <w:iCs/>
          <w:lang w:val="en-GB"/>
        </w:rPr>
        <w:t>40</w:t>
      </w:r>
      <w:r w:rsidRPr="003E29C0">
        <w:rPr>
          <w:rFonts w:cstheme="minorHAnsi"/>
          <w:lang w:val="en-GB"/>
        </w:rPr>
        <w:t>(4), 393–412. https://doi.org/10.1007/s12126-015-9222-6</w:t>
      </w:r>
    </w:p>
    <w:p w14:paraId="606442C7" w14:textId="77777777" w:rsidR="00D449F5" w:rsidRPr="003E29C0" w:rsidRDefault="00D449F5" w:rsidP="00D449F5">
      <w:pPr>
        <w:pStyle w:val="HED-References"/>
        <w:rPr>
          <w:rFonts w:cstheme="minorHAnsi"/>
          <w:lang w:val="en-GB"/>
        </w:rPr>
      </w:pPr>
      <w:r w:rsidRPr="003E29C0">
        <w:rPr>
          <w:rFonts w:cstheme="minorHAnsi"/>
          <w:lang w:val="en-GB"/>
        </w:rPr>
        <w:t>Earl, C., &amp; Taylor, P. (2015). Is workplace flexibility good policy? Evaluating the efficacy of age management strategies for older women workers. </w:t>
      </w:r>
      <w:r w:rsidRPr="00413450">
        <w:rPr>
          <w:rFonts w:cstheme="minorHAnsi"/>
          <w:i/>
          <w:lang w:val="en-GB"/>
        </w:rPr>
        <w:t>Work</w:t>
      </w:r>
      <w:r w:rsidRPr="003E29C0">
        <w:rPr>
          <w:rFonts w:cstheme="minorHAnsi"/>
          <w:lang w:val="en-GB"/>
        </w:rPr>
        <w:t xml:space="preserve">, </w:t>
      </w:r>
      <w:r w:rsidRPr="003E29C0">
        <w:rPr>
          <w:rFonts w:cstheme="minorHAnsi"/>
          <w:i/>
          <w:iCs/>
          <w:lang w:val="en-GB"/>
        </w:rPr>
        <w:t>Aging and Retirement</w:t>
      </w:r>
      <w:r w:rsidRPr="003E29C0">
        <w:rPr>
          <w:rFonts w:cstheme="minorHAnsi"/>
          <w:lang w:val="en-GB"/>
        </w:rPr>
        <w:t>, </w:t>
      </w:r>
      <w:r w:rsidRPr="003E29C0">
        <w:rPr>
          <w:rFonts w:cstheme="minorHAnsi"/>
          <w:i/>
          <w:iCs/>
          <w:lang w:val="en-GB"/>
        </w:rPr>
        <w:t>1</w:t>
      </w:r>
      <w:r w:rsidRPr="003E29C0">
        <w:rPr>
          <w:rFonts w:cstheme="minorHAnsi"/>
          <w:lang w:val="en-GB"/>
        </w:rPr>
        <w:t>(2), 214–226. https://doi.org/10.1093/workar/wau012</w:t>
      </w:r>
    </w:p>
    <w:p w14:paraId="0162AC6E" w14:textId="77777777" w:rsidR="00D449F5" w:rsidRPr="003E29C0" w:rsidRDefault="00D449F5" w:rsidP="00D449F5">
      <w:pPr>
        <w:pStyle w:val="HED-References"/>
        <w:rPr>
          <w:rFonts w:cstheme="minorHAnsi"/>
          <w:lang w:val="en-GB"/>
        </w:rPr>
      </w:pPr>
      <w:proofErr w:type="spellStart"/>
      <w:r w:rsidRPr="003E29C0">
        <w:rPr>
          <w:rFonts w:cstheme="minorHAnsi"/>
          <w:lang w:val="en-GB"/>
        </w:rPr>
        <w:t>Egdell</w:t>
      </w:r>
      <w:proofErr w:type="spellEnd"/>
      <w:r w:rsidRPr="003E29C0">
        <w:rPr>
          <w:rFonts w:cstheme="minorHAnsi"/>
          <w:lang w:val="en-GB"/>
        </w:rPr>
        <w:t xml:space="preserve">, V., Maclean, G., </w:t>
      </w:r>
      <w:proofErr w:type="spellStart"/>
      <w:r w:rsidRPr="003E29C0">
        <w:rPr>
          <w:rFonts w:cstheme="minorHAnsi"/>
          <w:lang w:val="en-GB"/>
        </w:rPr>
        <w:t>Raeside</w:t>
      </w:r>
      <w:proofErr w:type="spellEnd"/>
      <w:r w:rsidRPr="003E29C0">
        <w:rPr>
          <w:rFonts w:cstheme="minorHAnsi"/>
          <w:lang w:val="en-GB"/>
        </w:rPr>
        <w:t>, R., &amp; Chen, T. (2020). Age management in the workplace: manager and older worker accounts of policy and practice. </w:t>
      </w:r>
      <w:r w:rsidRPr="003E29C0">
        <w:rPr>
          <w:rFonts w:cstheme="minorHAnsi"/>
          <w:i/>
          <w:iCs/>
          <w:lang w:val="en-GB"/>
        </w:rPr>
        <w:t>Ageing &amp; Society</w:t>
      </w:r>
      <w:r w:rsidRPr="003E29C0">
        <w:rPr>
          <w:rFonts w:cstheme="minorHAnsi"/>
          <w:lang w:val="en-GB"/>
        </w:rPr>
        <w:t>, </w:t>
      </w:r>
      <w:r w:rsidRPr="003E29C0">
        <w:rPr>
          <w:rFonts w:cstheme="minorHAnsi"/>
          <w:i/>
          <w:iCs/>
          <w:lang w:val="en-GB"/>
        </w:rPr>
        <w:t>40</w:t>
      </w:r>
      <w:r w:rsidRPr="003E29C0">
        <w:rPr>
          <w:rFonts w:cstheme="minorHAnsi"/>
          <w:lang w:val="en-GB"/>
        </w:rPr>
        <w:t>(4), 784–804. https://doi.org/10.1017/S0144686X18001307</w:t>
      </w:r>
    </w:p>
    <w:p w14:paraId="417DAD29" w14:textId="77777777" w:rsidR="00D449F5" w:rsidRPr="003E29C0" w:rsidRDefault="00D449F5" w:rsidP="00D449F5">
      <w:pPr>
        <w:pStyle w:val="HED-References"/>
        <w:rPr>
          <w:rFonts w:cstheme="minorHAnsi"/>
          <w:lang w:val="en-GB"/>
        </w:rPr>
      </w:pPr>
      <w:proofErr w:type="spellStart"/>
      <w:r w:rsidRPr="003E29C0">
        <w:rPr>
          <w:rFonts w:cstheme="minorHAnsi"/>
          <w:lang w:val="en-GB"/>
        </w:rPr>
        <w:t>Feißel</w:t>
      </w:r>
      <w:proofErr w:type="spellEnd"/>
      <w:r w:rsidRPr="003E29C0">
        <w:rPr>
          <w:rFonts w:cstheme="minorHAnsi"/>
          <w:lang w:val="en-GB"/>
        </w:rPr>
        <w:t>, A., Peter, R., Swart, E., &amp; March, S. (2018). Developing an extended model of the relation between work motivation and health as affected by the work ability as part of a corporate age management approach. </w:t>
      </w:r>
      <w:r w:rsidRPr="003E29C0">
        <w:rPr>
          <w:rFonts w:cstheme="minorHAnsi"/>
          <w:i/>
          <w:iCs/>
          <w:lang w:val="en-GB"/>
        </w:rPr>
        <w:t>International journal of environmental research and public health</w:t>
      </w:r>
      <w:r w:rsidRPr="003E29C0">
        <w:rPr>
          <w:rFonts w:cstheme="minorHAnsi"/>
          <w:lang w:val="en-GB"/>
        </w:rPr>
        <w:t>, </w:t>
      </w:r>
      <w:r w:rsidRPr="003E29C0">
        <w:rPr>
          <w:rFonts w:cstheme="minorHAnsi"/>
          <w:i/>
          <w:iCs/>
          <w:lang w:val="en-GB"/>
        </w:rPr>
        <w:t>15</w:t>
      </w:r>
      <w:r w:rsidRPr="003E29C0">
        <w:rPr>
          <w:rFonts w:cstheme="minorHAnsi"/>
          <w:lang w:val="en-GB"/>
        </w:rPr>
        <w:t>(4), 779. https://doi.org/10.3390/ijerph15040779</w:t>
      </w:r>
    </w:p>
    <w:p w14:paraId="0D68D664" w14:textId="77777777" w:rsidR="00D449F5" w:rsidRPr="003E29C0" w:rsidRDefault="00D449F5" w:rsidP="00D449F5">
      <w:pPr>
        <w:pStyle w:val="HED-References"/>
        <w:rPr>
          <w:rFonts w:cstheme="minorHAnsi"/>
          <w:lang w:val="en-GB"/>
        </w:rPr>
      </w:pPr>
      <w:proofErr w:type="spellStart"/>
      <w:r w:rsidRPr="003E29C0">
        <w:rPr>
          <w:rFonts w:cstheme="minorHAnsi"/>
          <w:lang w:val="en-GB"/>
        </w:rPr>
        <w:t>Frerichs</w:t>
      </w:r>
      <w:proofErr w:type="spellEnd"/>
      <w:r w:rsidRPr="003E29C0">
        <w:rPr>
          <w:rFonts w:cstheme="minorHAnsi"/>
          <w:lang w:val="en-GB"/>
        </w:rPr>
        <w:t xml:space="preserve">, F., Lindley, R., </w:t>
      </w:r>
      <w:proofErr w:type="spellStart"/>
      <w:r w:rsidRPr="003E29C0">
        <w:rPr>
          <w:rFonts w:cstheme="minorHAnsi"/>
          <w:lang w:val="en-GB"/>
        </w:rPr>
        <w:t>Aleksandrowicz</w:t>
      </w:r>
      <w:proofErr w:type="spellEnd"/>
      <w:r w:rsidRPr="003E29C0">
        <w:rPr>
          <w:rFonts w:cstheme="minorHAnsi"/>
          <w:lang w:val="en-GB"/>
        </w:rPr>
        <w:t xml:space="preserve">, P., </w:t>
      </w:r>
      <w:proofErr w:type="spellStart"/>
      <w:r w:rsidRPr="003E29C0">
        <w:rPr>
          <w:rFonts w:cstheme="minorHAnsi"/>
          <w:lang w:val="en-GB"/>
        </w:rPr>
        <w:t>Baldauf</w:t>
      </w:r>
      <w:proofErr w:type="spellEnd"/>
      <w:r w:rsidRPr="003E29C0">
        <w:rPr>
          <w:rFonts w:cstheme="minorHAnsi"/>
          <w:lang w:val="en-GB"/>
        </w:rPr>
        <w:t>, B., &amp; Galloway, S. (2012). Active ageing in organisations: a case study approach. </w:t>
      </w:r>
      <w:r w:rsidRPr="003E29C0">
        <w:rPr>
          <w:rFonts w:cstheme="minorHAnsi"/>
          <w:i/>
          <w:iCs/>
          <w:lang w:val="en-GB"/>
        </w:rPr>
        <w:t>International Journal of Manpower</w:t>
      </w:r>
      <w:r w:rsidRPr="003E29C0">
        <w:rPr>
          <w:rFonts w:cstheme="minorHAnsi"/>
          <w:lang w:val="en-GB"/>
        </w:rPr>
        <w:t xml:space="preserve">, </w:t>
      </w:r>
      <w:r w:rsidRPr="003E29C0">
        <w:rPr>
          <w:rFonts w:cstheme="minorHAnsi"/>
          <w:i/>
          <w:iCs/>
          <w:lang w:val="en-GB"/>
        </w:rPr>
        <w:t>33</w:t>
      </w:r>
      <w:r w:rsidRPr="003E29C0">
        <w:rPr>
          <w:rFonts w:cstheme="minorHAnsi"/>
          <w:lang w:val="en-GB"/>
        </w:rPr>
        <w:t>(6), 666–684. https://doi.org/10.1108/01437721211261813</w:t>
      </w:r>
    </w:p>
    <w:p w14:paraId="09F566C4" w14:textId="77777777" w:rsidR="00D449F5" w:rsidRPr="003E29C0" w:rsidRDefault="00D449F5" w:rsidP="00D449F5">
      <w:pPr>
        <w:pStyle w:val="HED-References"/>
        <w:rPr>
          <w:rFonts w:cstheme="minorHAnsi"/>
          <w:lang w:val="en-GB"/>
        </w:rPr>
      </w:pPr>
      <w:r w:rsidRPr="003E29C0">
        <w:rPr>
          <w:rFonts w:cstheme="minorHAnsi"/>
          <w:lang w:val="en-GB"/>
        </w:rPr>
        <w:t xml:space="preserve">Fuertes, V., </w:t>
      </w:r>
      <w:proofErr w:type="spellStart"/>
      <w:r w:rsidRPr="003E29C0">
        <w:rPr>
          <w:rFonts w:cstheme="minorHAnsi"/>
          <w:lang w:val="en-GB"/>
        </w:rPr>
        <w:t>Egdell</w:t>
      </w:r>
      <w:proofErr w:type="spellEnd"/>
      <w:r w:rsidRPr="003E29C0">
        <w:rPr>
          <w:rFonts w:cstheme="minorHAnsi"/>
          <w:lang w:val="en-GB"/>
        </w:rPr>
        <w:t>, V., &amp; McQuaid, R. (2013). Extending working lives: age management in SMEs. </w:t>
      </w:r>
      <w:r w:rsidRPr="003E29C0">
        <w:rPr>
          <w:rFonts w:cstheme="minorHAnsi"/>
          <w:i/>
          <w:iCs/>
          <w:lang w:val="en-GB"/>
        </w:rPr>
        <w:t>Employee relations</w:t>
      </w:r>
      <w:r w:rsidRPr="003E29C0">
        <w:rPr>
          <w:rFonts w:cstheme="minorHAnsi"/>
          <w:lang w:val="en-GB"/>
        </w:rPr>
        <w:t xml:space="preserve">, </w:t>
      </w:r>
      <w:r w:rsidRPr="003E29C0">
        <w:rPr>
          <w:rFonts w:cstheme="minorHAnsi"/>
          <w:i/>
          <w:iCs/>
          <w:lang w:val="en-GB"/>
        </w:rPr>
        <w:t>35</w:t>
      </w:r>
      <w:r w:rsidRPr="003E29C0">
        <w:rPr>
          <w:rFonts w:cstheme="minorHAnsi"/>
          <w:lang w:val="en-GB"/>
        </w:rPr>
        <w:t>(3), 272–293. https://doi.org/10.1108/01425451311320477</w:t>
      </w:r>
    </w:p>
    <w:p w14:paraId="267415AB" w14:textId="77777777" w:rsidR="00D449F5" w:rsidRPr="003E29C0" w:rsidRDefault="00D449F5" w:rsidP="00D449F5">
      <w:pPr>
        <w:pStyle w:val="HED-References"/>
        <w:rPr>
          <w:rFonts w:cstheme="minorHAnsi"/>
          <w:lang w:val="en-GB"/>
        </w:rPr>
      </w:pPr>
      <w:proofErr w:type="spellStart"/>
      <w:r w:rsidRPr="003E29C0">
        <w:rPr>
          <w:rFonts w:cstheme="minorHAnsi"/>
          <w:lang w:val="en-GB"/>
        </w:rPr>
        <w:lastRenderedPageBreak/>
        <w:t>Garavaglia</w:t>
      </w:r>
      <w:proofErr w:type="spellEnd"/>
      <w:r w:rsidRPr="003E29C0">
        <w:rPr>
          <w:rFonts w:cstheme="minorHAnsi"/>
          <w:lang w:val="en-GB"/>
        </w:rPr>
        <w:t xml:space="preserve">, E., Marcaletti, F., &amp; </w:t>
      </w:r>
      <w:proofErr w:type="spellStart"/>
      <w:r w:rsidRPr="003E29C0">
        <w:rPr>
          <w:rFonts w:cstheme="minorHAnsi"/>
          <w:lang w:val="en-GB"/>
        </w:rPr>
        <w:t>Iñiguez</w:t>
      </w:r>
      <w:proofErr w:type="spellEnd"/>
      <w:r w:rsidRPr="003E29C0">
        <w:rPr>
          <w:rFonts w:cstheme="minorHAnsi"/>
          <w:lang w:val="en-GB"/>
        </w:rPr>
        <w:t>-Berrozpe, T. (2021). Action research in age management: the quality of ageing at work model. </w:t>
      </w:r>
      <w:r w:rsidRPr="003E29C0">
        <w:rPr>
          <w:rFonts w:cstheme="minorHAnsi"/>
          <w:i/>
          <w:iCs/>
          <w:lang w:val="en-GB"/>
        </w:rPr>
        <w:t>Work, Aging and Retirement</w:t>
      </w:r>
      <w:r w:rsidRPr="003E29C0">
        <w:rPr>
          <w:rFonts w:cstheme="minorHAnsi"/>
          <w:lang w:val="en-GB"/>
        </w:rPr>
        <w:t>, </w:t>
      </w:r>
      <w:r w:rsidRPr="003E29C0">
        <w:rPr>
          <w:rFonts w:cstheme="minorHAnsi"/>
          <w:i/>
          <w:iCs/>
          <w:lang w:val="en-GB"/>
        </w:rPr>
        <w:t>7</w:t>
      </w:r>
      <w:r w:rsidRPr="003E29C0">
        <w:rPr>
          <w:rFonts w:cstheme="minorHAnsi"/>
          <w:lang w:val="en-GB"/>
        </w:rPr>
        <w:t>(4), 339–351. https://doi.org/10.1093/workar/waaa025</w:t>
      </w:r>
    </w:p>
    <w:p w14:paraId="3885DD90" w14:textId="77777777" w:rsidR="00D449F5" w:rsidRPr="003E29C0" w:rsidRDefault="00D449F5" w:rsidP="00D449F5">
      <w:pPr>
        <w:pStyle w:val="HED-References"/>
        <w:rPr>
          <w:rFonts w:cstheme="minorHAnsi"/>
          <w:lang w:val="en-GB"/>
        </w:rPr>
      </w:pPr>
      <w:proofErr w:type="spellStart"/>
      <w:r w:rsidRPr="003E29C0">
        <w:rPr>
          <w:rFonts w:cstheme="minorHAnsi"/>
          <w:lang w:val="en-GB"/>
        </w:rPr>
        <w:t>Jankelová</w:t>
      </w:r>
      <w:proofErr w:type="spellEnd"/>
      <w:r w:rsidRPr="003E29C0">
        <w:rPr>
          <w:rFonts w:cstheme="minorHAnsi"/>
          <w:lang w:val="en-GB"/>
        </w:rPr>
        <w:t xml:space="preserve">, N., &amp; Joniaková, Z. (2021). How to increase production performance of Slovak agricultural companies: The key task of supporting innovative work </w:t>
      </w:r>
      <w:proofErr w:type="spellStart"/>
      <w:r w:rsidRPr="003E29C0">
        <w:rPr>
          <w:rFonts w:cstheme="minorHAnsi"/>
          <w:lang w:val="en-GB"/>
        </w:rPr>
        <w:t>behavior</w:t>
      </w:r>
      <w:proofErr w:type="spellEnd"/>
      <w:r w:rsidRPr="003E29C0">
        <w:rPr>
          <w:rFonts w:cstheme="minorHAnsi"/>
          <w:lang w:val="en-GB"/>
        </w:rPr>
        <w:t xml:space="preserve"> and information sharing. </w:t>
      </w:r>
      <w:r w:rsidRPr="003E29C0">
        <w:rPr>
          <w:rFonts w:cstheme="minorHAnsi"/>
          <w:i/>
          <w:iCs/>
          <w:lang w:val="en-GB"/>
        </w:rPr>
        <w:t>Agricultural Economics/</w:t>
      </w:r>
      <w:proofErr w:type="spellStart"/>
      <w:r w:rsidRPr="003E29C0">
        <w:rPr>
          <w:rFonts w:cstheme="minorHAnsi"/>
          <w:i/>
          <w:iCs/>
          <w:lang w:val="en-GB"/>
        </w:rPr>
        <w:t>Zemedelska</w:t>
      </w:r>
      <w:proofErr w:type="spellEnd"/>
      <w:r w:rsidRPr="003E29C0">
        <w:rPr>
          <w:rFonts w:cstheme="minorHAnsi"/>
          <w:i/>
          <w:iCs/>
          <w:lang w:val="en-GB"/>
        </w:rPr>
        <w:t xml:space="preserve"> </w:t>
      </w:r>
      <w:proofErr w:type="spellStart"/>
      <w:r w:rsidRPr="003E29C0">
        <w:rPr>
          <w:rFonts w:cstheme="minorHAnsi"/>
          <w:i/>
          <w:iCs/>
          <w:lang w:val="en-GB"/>
        </w:rPr>
        <w:t>Ekonomika</w:t>
      </w:r>
      <w:proofErr w:type="spellEnd"/>
      <w:r w:rsidRPr="003E29C0">
        <w:rPr>
          <w:rFonts w:cstheme="minorHAnsi"/>
          <w:lang w:val="en-GB"/>
        </w:rPr>
        <w:t>, </w:t>
      </w:r>
      <w:r w:rsidRPr="003E29C0">
        <w:rPr>
          <w:rFonts w:cstheme="minorHAnsi"/>
          <w:i/>
          <w:iCs/>
          <w:lang w:val="en-GB"/>
        </w:rPr>
        <w:t>67</w:t>
      </w:r>
      <w:r w:rsidRPr="003E29C0">
        <w:rPr>
          <w:rFonts w:cstheme="minorHAnsi"/>
          <w:lang w:val="en-GB"/>
        </w:rPr>
        <w:t>(1). https://doi.org/10.17221/319/2020-AGRICECON</w:t>
      </w:r>
    </w:p>
    <w:p w14:paraId="0291C132" w14:textId="77777777" w:rsidR="00D449F5" w:rsidRPr="003E29C0" w:rsidRDefault="00D449F5" w:rsidP="00D449F5">
      <w:pPr>
        <w:pStyle w:val="HED-References"/>
        <w:rPr>
          <w:rFonts w:cstheme="minorHAnsi"/>
          <w:lang w:val="en-GB"/>
        </w:rPr>
      </w:pPr>
      <w:r w:rsidRPr="003E29C0">
        <w:rPr>
          <w:rFonts w:cstheme="minorHAnsi"/>
          <w:lang w:val="en-GB"/>
        </w:rPr>
        <w:t xml:space="preserve">Joniaková, Z., &amp; </w:t>
      </w:r>
      <w:proofErr w:type="spellStart"/>
      <w:r w:rsidRPr="003E29C0">
        <w:rPr>
          <w:rFonts w:cstheme="minorHAnsi"/>
          <w:lang w:val="en-GB"/>
        </w:rPr>
        <w:t>Blštáková</w:t>
      </w:r>
      <w:proofErr w:type="spellEnd"/>
      <w:r w:rsidRPr="003E29C0">
        <w:rPr>
          <w:rFonts w:cstheme="minorHAnsi"/>
          <w:lang w:val="en-GB"/>
        </w:rPr>
        <w:t>, J. (2015). Age management as contemporary challenge to human resources management in Slovak companies. </w:t>
      </w:r>
      <w:r w:rsidRPr="003E29C0">
        <w:rPr>
          <w:rFonts w:cstheme="minorHAnsi"/>
          <w:i/>
          <w:iCs/>
          <w:lang w:val="en-GB"/>
        </w:rPr>
        <w:t>Procedia Economics and Finance</w:t>
      </w:r>
      <w:r w:rsidRPr="003E29C0">
        <w:rPr>
          <w:rFonts w:cstheme="minorHAnsi"/>
          <w:lang w:val="en-GB"/>
        </w:rPr>
        <w:t>, </w:t>
      </w:r>
      <w:r w:rsidRPr="003E29C0">
        <w:rPr>
          <w:rFonts w:cstheme="minorHAnsi"/>
          <w:i/>
          <w:iCs/>
          <w:lang w:val="en-GB"/>
        </w:rPr>
        <w:t>34</w:t>
      </w:r>
      <w:r w:rsidRPr="003E29C0">
        <w:rPr>
          <w:rFonts w:cstheme="minorHAnsi"/>
          <w:lang w:val="en-GB"/>
        </w:rPr>
        <w:t>, 202–209. https://doi.org/10.1016/s2212-5671(15)01620-2</w:t>
      </w:r>
    </w:p>
    <w:p w14:paraId="2CAD5383" w14:textId="77777777" w:rsidR="00D449F5" w:rsidRPr="003E29C0" w:rsidRDefault="00D449F5" w:rsidP="00D449F5">
      <w:pPr>
        <w:pStyle w:val="HED-References"/>
        <w:rPr>
          <w:rFonts w:cstheme="minorHAnsi"/>
          <w:lang w:val="en-GB"/>
        </w:rPr>
      </w:pPr>
      <w:proofErr w:type="spellStart"/>
      <w:r w:rsidRPr="003E29C0">
        <w:rPr>
          <w:rFonts w:cstheme="minorHAnsi"/>
          <w:lang w:val="en-GB"/>
        </w:rPr>
        <w:t>Kooij</w:t>
      </w:r>
      <w:proofErr w:type="spellEnd"/>
      <w:r w:rsidRPr="003E29C0">
        <w:rPr>
          <w:rFonts w:cstheme="minorHAnsi"/>
          <w:lang w:val="en-GB"/>
        </w:rPr>
        <w:t>, D. T. (2020). The impact of the Covid-19 pandemic on older workers: The role of self-regulation and organizations. </w:t>
      </w:r>
      <w:r w:rsidRPr="003E29C0">
        <w:rPr>
          <w:rFonts w:cstheme="minorHAnsi"/>
          <w:i/>
          <w:iCs/>
          <w:lang w:val="en-GB"/>
        </w:rPr>
        <w:t>Work, Aging and Retirement</w:t>
      </w:r>
      <w:r w:rsidRPr="003E29C0">
        <w:rPr>
          <w:rFonts w:cstheme="minorHAnsi"/>
          <w:lang w:val="en-GB"/>
        </w:rPr>
        <w:t>, </w:t>
      </w:r>
      <w:r w:rsidRPr="003E29C0">
        <w:rPr>
          <w:rFonts w:cstheme="minorHAnsi"/>
          <w:i/>
          <w:iCs/>
          <w:lang w:val="en-GB"/>
        </w:rPr>
        <w:t>6</w:t>
      </w:r>
      <w:r w:rsidRPr="003E29C0">
        <w:rPr>
          <w:rFonts w:cstheme="minorHAnsi"/>
          <w:lang w:val="en-GB"/>
        </w:rPr>
        <w:t>(4), 233–237. https://doi.org/10.1093/workar/waaa018</w:t>
      </w:r>
    </w:p>
    <w:p w14:paraId="106992D9" w14:textId="77777777" w:rsidR="00D449F5" w:rsidRPr="003E29C0" w:rsidRDefault="00D449F5" w:rsidP="00D449F5">
      <w:pPr>
        <w:pStyle w:val="HED-References"/>
        <w:rPr>
          <w:rFonts w:cstheme="minorHAnsi"/>
          <w:lang w:val="en-GB"/>
        </w:rPr>
      </w:pPr>
      <w:proofErr w:type="spellStart"/>
      <w:r w:rsidRPr="003E29C0">
        <w:rPr>
          <w:rFonts w:cstheme="minorHAnsi"/>
          <w:lang w:val="en-GB"/>
        </w:rPr>
        <w:t>Lorincová</w:t>
      </w:r>
      <w:proofErr w:type="spellEnd"/>
      <w:r w:rsidRPr="003E29C0">
        <w:rPr>
          <w:rFonts w:cstheme="minorHAnsi"/>
          <w:lang w:val="en-GB"/>
        </w:rPr>
        <w:t xml:space="preserve">, S., Hitka, M., </w:t>
      </w:r>
      <w:proofErr w:type="spellStart"/>
      <w:r w:rsidRPr="003E29C0">
        <w:rPr>
          <w:rFonts w:cstheme="minorHAnsi"/>
          <w:lang w:val="en-GB"/>
        </w:rPr>
        <w:t>Štarchoň</w:t>
      </w:r>
      <w:proofErr w:type="spellEnd"/>
      <w:r w:rsidRPr="003E29C0">
        <w:rPr>
          <w:rFonts w:cstheme="minorHAnsi"/>
          <w:lang w:val="en-GB"/>
        </w:rPr>
        <w:t xml:space="preserve">, P., &amp; </w:t>
      </w:r>
      <w:proofErr w:type="spellStart"/>
      <w:r w:rsidRPr="003E29C0">
        <w:rPr>
          <w:rFonts w:cstheme="minorHAnsi"/>
          <w:lang w:val="en-GB"/>
        </w:rPr>
        <w:t>Stachová</w:t>
      </w:r>
      <w:proofErr w:type="spellEnd"/>
      <w:r w:rsidRPr="003E29C0">
        <w:rPr>
          <w:rFonts w:cstheme="minorHAnsi"/>
          <w:lang w:val="en-GB"/>
        </w:rPr>
        <w:t>, K. (2018). Strategic instrument for sustainability of human resource management in small and medium-sized enterprises using management data. </w:t>
      </w:r>
      <w:r w:rsidRPr="003E29C0">
        <w:rPr>
          <w:rFonts w:cstheme="minorHAnsi"/>
          <w:i/>
          <w:iCs/>
          <w:lang w:val="en-GB"/>
        </w:rPr>
        <w:t>Sustainability</w:t>
      </w:r>
      <w:r w:rsidRPr="003E29C0">
        <w:rPr>
          <w:rFonts w:cstheme="minorHAnsi"/>
          <w:lang w:val="en-GB"/>
        </w:rPr>
        <w:t>, </w:t>
      </w:r>
      <w:r w:rsidRPr="003E29C0">
        <w:rPr>
          <w:rFonts w:cstheme="minorHAnsi"/>
          <w:i/>
          <w:iCs/>
          <w:lang w:val="en-GB"/>
        </w:rPr>
        <w:t>10</w:t>
      </w:r>
      <w:r w:rsidRPr="003E29C0">
        <w:rPr>
          <w:rFonts w:cstheme="minorHAnsi"/>
          <w:lang w:val="en-GB"/>
        </w:rPr>
        <w:t>(10), 3687. https://doi.org/10.3390/su10103687</w:t>
      </w:r>
    </w:p>
    <w:p w14:paraId="3D335989" w14:textId="77777777" w:rsidR="00D449F5" w:rsidRPr="003E29C0" w:rsidRDefault="00D449F5" w:rsidP="00D449F5">
      <w:pPr>
        <w:pStyle w:val="HED-References"/>
        <w:rPr>
          <w:rFonts w:cstheme="minorHAnsi"/>
          <w:lang w:val="en-GB"/>
        </w:rPr>
      </w:pPr>
      <w:r w:rsidRPr="003E29C0">
        <w:rPr>
          <w:rFonts w:cstheme="minorHAnsi"/>
          <w:lang w:val="en-GB"/>
        </w:rPr>
        <w:t>Nilsson, K. (2016). Conceptualisation of ageing in relation to factors of importance for extending working life–a review. </w:t>
      </w:r>
      <w:r w:rsidRPr="003E29C0">
        <w:rPr>
          <w:rFonts w:cstheme="minorHAnsi"/>
          <w:i/>
          <w:iCs/>
          <w:lang w:val="en-GB"/>
        </w:rPr>
        <w:t>Scandinavian Journal of Public Health</w:t>
      </w:r>
      <w:r w:rsidRPr="003E29C0">
        <w:rPr>
          <w:rFonts w:cstheme="minorHAnsi"/>
          <w:lang w:val="en-GB"/>
        </w:rPr>
        <w:t>, </w:t>
      </w:r>
      <w:r w:rsidRPr="003E29C0">
        <w:rPr>
          <w:rFonts w:cstheme="minorHAnsi"/>
          <w:i/>
          <w:iCs/>
          <w:lang w:val="en-GB"/>
        </w:rPr>
        <w:t>44</w:t>
      </w:r>
      <w:r w:rsidRPr="003E29C0">
        <w:rPr>
          <w:rFonts w:cstheme="minorHAnsi"/>
          <w:lang w:val="en-GB"/>
        </w:rPr>
        <w:t>(5), 490–505. https://doi.org/10.1177/1403494816636265</w:t>
      </w:r>
    </w:p>
    <w:p w14:paraId="75FEBA47" w14:textId="77777777" w:rsidR="00D449F5" w:rsidRPr="003E29C0" w:rsidRDefault="00D449F5" w:rsidP="00D449F5">
      <w:pPr>
        <w:pStyle w:val="HED-References"/>
        <w:rPr>
          <w:rFonts w:cstheme="minorHAnsi"/>
          <w:lang w:val="en-GB"/>
        </w:rPr>
      </w:pPr>
      <w:proofErr w:type="spellStart"/>
      <w:r w:rsidRPr="003E29C0">
        <w:rPr>
          <w:rFonts w:cstheme="minorHAnsi"/>
          <w:lang w:val="en-GB"/>
        </w:rPr>
        <w:t>Pacana</w:t>
      </w:r>
      <w:proofErr w:type="spellEnd"/>
      <w:r w:rsidRPr="003E29C0">
        <w:rPr>
          <w:rFonts w:cstheme="minorHAnsi"/>
          <w:lang w:val="en-GB"/>
        </w:rPr>
        <w:t xml:space="preserve">, A., </w:t>
      </w:r>
      <w:proofErr w:type="spellStart"/>
      <w:r w:rsidRPr="003E29C0">
        <w:rPr>
          <w:rFonts w:cstheme="minorHAnsi"/>
          <w:lang w:val="en-GB"/>
        </w:rPr>
        <w:t>Czerwińska</w:t>
      </w:r>
      <w:proofErr w:type="spellEnd"/>
      <w:r w:rsidRPr="003E29C0">
        <w:rPr>
          <w:rFonts w:cstheme="minorHAnsi"/>
          <w:lang w:val="en-GB"/>
        </w:rPr>
        <w:t xml:space="preserve">, K., </w:t>
      </w:r>
      <w:proofErr w:type="spellStart"/>
      <w:r w:rsidRPr="003E29C0">
        <w:rPr>
          <w:rFonts w:cstheme="minorHAnsi"/>
          <w:lang w:val="en-GB"/>
        </w:rPr>
        <w:t>Bednárová</w:t>
      </w:r>
      <w:proofErr w:type="spellEnd"/>
      <w:r w:rsidRPr="003E29C0">
        <w:rPr>
          <w:rFonts w:cstheme="minorHAnsi"/>
          <w:lang w:val="en-GB"/>
        </w:rPr>
        <w:t xml:space="preserve">, L., &amp; </w:t>
      </w:r>
      <w:proofErr w:type="spellStart"/>
      <w:r w:rsidRPr="003E29C0">
        <w:rPr>
          <w:rFonts w:cstheme="minorHAnsi"/>
          <w:lang w:val="en-GB"/>
        </w:rPr>
        <w:t>Džuková</w:t>
      </w:r>
      <w:proofErr w:type="spellEnd"/>
      <w:r w:rsidRPr="003E29C0">
        <w:rPr>
          <w:rFonts w:cstheme="minorHAnsi"/>
          <w:lang w:val="en-GB"/>
        </w:rPr>
        <w:t xml:space="preserve">, J. (2020). Analysis of a practical approach to the concept of sustainable development in a manufacturing company in the automotive sector. </w:t>
      </w:r>
      <w:r w:rsidRPr="003E29C0">
        <w:rPr>
          <w:rFonts w:cstheme="minorHAnsi"/>
          <w:i/>
          <w:iCs/>
          <w:lang w:val="en-GB"/>
        </w:rPr>
        <w:t>Waste Forum</w:t>
      </w:r>
      <w:r w:rsidRPr="003E29C0">
        <w:rPr>
          <w:rFonts w:cstheme="minorHAnsi"/>
          <w:lang w:val="en-GB"/>
        </w:rPr>
        <w:t>, </w:t>
      </w:r>
      <w:r w:rsidRPr="003E29C0">
        <w:rPr>
          <w:rFonts w:cstheme="minorHAnsi"/>
          <w:i/>
          <w:iCs/>
          <w:lang w:val="en-GB"/>
        </w:rPr>
        <w:t>3</w:t>
      </w:r>
      <w:r w:rsidRPr="003E29C0">
        <w:rPr>
          <w:rFonts w:cstheme="minorHAnsi"/>
          <w:lang w:val="en-GB"/>
        </w:rPr>
        <w:t>, 151–161.</w:t>
      </w:r>
    </w:p>
    <w:p w14:paraId="483D2A02" w14:textId="77777777" w:rsidR="00D449F5" w:rsidRPr="003E29C0" w:rsidRDefault="00D449F5" w:rsidP="00D449F5">
      <w:pPr>
        <w:pStyle w:val="HED-References"/>
        <w:rPr>
          <w:rFonts w:cstheme="minorHAnsi"/>
          <w:lang w:val="en-GB"/>
        </w:rPr>
      </w:pPr>
      <w:r w:rsidRPr="003E29C0">
        <w:rPr>
          <w:rFonts w:cstheme="minorHAnsi"/>
          <w:lang w:val="en-GB"/>
        </w:rPr>
        <w:t xml:space="preserve">Principi, A., </w:t>
      </w:r>
      <w:proofErr w:type="spellStart"/>
      <w:r w:rsidRPr="003E29C0">
        <w:rPr>
          <w:rFonts w:cstheme="minorHAnsi"/>
          <w:lang w:val="en-GB"/>
        </w:rPr>
        <w:t>Fabbietti</w:t>
      </w:r>
      <w:proofErr w:type="spellEnd"/>
      <w:r w:rsidRPr="003E29C0">
        <w:rPr>
          <w:rFonts w:cstheme="minorHAnsi"/>
          <w:lang w:val="en-GB"/>
        </w:rPr>
        <w:t xml:space="preserve">, P., &amp; </w:t>
      </w:r>
      <w:proofErr w:type="spellStart"/>
      <w:r w:rsidRPr="003E29C0">
        <w:rPr>
          <w:rFonts w:cstheme="minorHAnsi"/>
          <w:lang w:val="en-GB"/>
        </w:rPr>
        <w:t>Lamura</w:t>
      </w:r>
      <w:proofErr w:type="spellEnd"/>
      <w:r w:rsidRPr="003E29C0">
        <w:rPr>
          <w:rFonts w:cstheme="minorHAnsi"/>
          <w:lang w:val="en-GB"/>
        </w:rPr>
        <w:t>, G. (2015). Perceived qualities of older workers and age management in companies: does the age of HR managers matter? </w:t>
      </w:r>
      <w:r w:rsidRPr="003E29C0">
        <w:rPr>
          <w:rFonts w:cstheme="minorHAnsi"/>
          <w:i/>
          <w:iCs/>
          <w:lang w:val="en-GB"/>
        </w:rPr>
        <w:t>Personnel Review</w:t>
      </w:r>
      <w:r w:rsidRPr="003E29C0">
        <w:rPr>
          <w:rFonts w:cstheme="minorHAnsi"/>
          <w:lang w:val="en-GB"/>
        </w:rPr>
        <w:t xml:space="preserve">, </w:t>
      </w:r>
      <w:r w:rsidRPr="003E29C0">
        <w:rPr>
          <w:rFonts w:cstheme="minorHAnsi"/>
          <w:i/>
          <w:iCs/>
          <w:lang w:val="en-GB"/>
        </w:rPr>
        <w:t>44</w:t>
      </w:r>
      <w:r w:rsidRPr="003E29C0">
        <w:rPr>
          <w:rFonts w:cstheme="minorHAnsi"/>
          <w:lang w:val="en-GB"/>
        </w:rPr>
        <w:t>(5), 801–820. https://doi.org/10.1108/PR-09-2013-0158</w:t>
      </w:r>
    </w:p>
    <w:p w14:paraId="6D815E13" w14:textId="77777777" w:rsidR="00D449F5" w:rsidRPr="003E29C0" w:rsidRDefault="00D449F5" w:rsidP="00D449F5">
      <w:pPr>
        <w:pStyle w:val="HED-References"/>
        <w:rPr>
          <w:rFonts w:cstheme="minorHAnsi"/>
          <w:lang w:val="en-GB"/>
        </w:rPr>
      </w:pPr>
      <w:proofErr w:type="spellStart"/>
      <w:r w:rsidRPr="003E29C0">
        <w:rPr>
          <w:rFonts w:cstheme="minorHAnsi"/>
          <w:lang w:val="en-GB"/>
        </w:rPr>
        <w:t>Pytel-Kopczyńska</w:t>
      </w:r>
      <w:proofErr w:type="spellEnd"/>
      <w:r w:rsidRPr="003E29C0">
        <w:rPr>
          <w:rFonts w:cstheme="minorHAnsi"/>
          <w:lang w:val="en-GB"/>
        </w:rPr>
        <w:t>, M., &amp; Oleksiak, P. (2019). Sustainable Age Management as an Integral Element of Corporate Social Responsibility in the Organisation</w:t>
      </w:r>
      <w:r w:rsidRPr="003E29C0">
        <w:rPr>
          <w:rFonts w:cstheme="minorHAnsi"/>
          <w:i/>
          <w:iCs/>
          <w:lang w:val="en-GB"/>
        </w:rPr>
        <w:t>. </w:t>
      </w:r>
      <w:proofErr w:type="spellStart"/>
      <w:r w:rsidRPr="003E29C0">
        <w:rPr>
          <w:rFonts w:cstheme="minorHAnsi"/>
          <w:i/>
          <w:iCs/>
          <w:lang w:val="en-GB"/>
        </w:rPr>
        <w:t>Przedsiębiorczość</w:t>
      </w:r>
      <w:proofErr w:type="spellEnd"/>
      <w:r w:rsidRPr="003E29C0">
        <w:rPr>
          <w:rFonts w:cstheme="minorHAnsi"/>
          <w:i/>
          <w:iCs/>
          <w:lang w:val="en-GB"/>
        </w:rPr>
        <w:t xml:space="preserve"> </w:t>
      </w:r>
      <w:proofErr w:type="spellStart"/>
      <w:r w:rsidRPr="003E29C0">
        <w:rPr>
          <w:rFonts w:cstheme="minorHAnsi"/>
          <w:i/>
          <w:iCs/>
          <w:lang w:val="en-GB"/>
        </w:rPr>
        <w:t>i</w:t>
      </w:r>
      <w:proofErr w:type="spellEnd"/>
      <w:r w:rsidRPr="003E29C0">
        <w:rPr>
          <w:rFonts w:cstheme="minorHAnsi"/>
          <w:i/>
          <w:iCs/>
          <w:lang w:val="en-GB"/>
        </w:rPr>
        <w:t xml:space="preserve"> </w:t>
      </w:r>
      <w:proofErr w:type="spellStart"/>
      <w:r w:rsidRPr="003E29C0">
        <w:rPr>
          <w:rFonts w:cstheme="minorHAnsi"/>
          <w:i/>
          <w:iCs/>
          <w:lang w:val="en-GB"/>
        </w:rPr>
        <w:t>Zarządzanie</w:t>
      </w:r>
      <w:proofErr w:type="spellEnd"/>
      <w:r w:rsidRPr="003E29C0">
        <w:rPr>
          <w:rFonts w:cstheme="minorHAnsi"/>
          <w:lang w:val="en-GB"/>
        </w:rPr>
        <w:t>, </w:t>
      </w:r>
      <w:r w:rsidRPr="003E29C0">
        <w:rPr>
          <w:rFonts w:cstheme="minorHAnsi"/>
          <w:i/>
          <w:iCs/>
          <w:lang w:val="en-GB"/>
        </w:rPr>
        <w:t>20</w:t>
      </w:r>
      <w:r w:rsidRPr="003E29C0">
        <w:rPr>
          <w:rFonts w:cstheme="minorHAnsi"/>
          <w:lang w:val="en-GB"/>
        </w:rPr>
        <w:t xml:space="preserve">(11 </w:t>
      </w:r>
      <w:proofErr w:type="spellStart"/>
      <w:r w:rsidRPr="003E29C0">
        <w:rPr>
          <w:rFonts w:cstheme="minorHAnsi"/>
          <w:lang w:val="en-GB"/>
        </w:rPr>
        <w:t>Społeczna</w:t>
      </w:r>
      <w:proofErr w:type="spellEnd"/>
      <w:r w:rsidRPr="003E29C0">
        <w:rPr>
          <w:rFonts w:cstheme="minorHAnsi"/>
          <w:lang w:val="en-GB"/>
        </w:rPr>
        <w:t xml:space="preserve"> </w:t>
      </w:r>
      <w:proofErr w:type="spellStart"/>
      <w:r w:rsidRPr="003E29C0">
        <w:rPr>
          <w:rFonts w:cstheme="minorHAnsi"/>
          <w:lang w:val="en-GB"/>
        </w:rPr>
        <w:t>odpowiedzialność</w:t>
      </w:r>
      <w:proofErr w:type="spellEnd"/>
      <w:r w:rsidRPr="003E29C0">
        <w:rPr>
          <w:rFonts w:cstheme="minorHAnsi"/>
          <w:lang w:val="en-GB"/>
        </w:rPr>
        <w:t xml:space="preserve"> </w:t>
      </w:r>
      <w:proofErr w:type="spellStart"/>
      <w:r w:rsidRPr="003E29C0">
        <w:rPr>
          <w:rFonts w:cstheme="minorHAnsi"/>
          <w:lang w:val="en-GB"/>
        </w:rPr>
        <w:t>biznesu</w:t>
      </w:r>
      <w:proofErr w:type="spellEnd"/>
      <w:r w:rsidRPr="003E29C0">
        <w:rPr>
          <w:rFonts w:cstheme="minorHAnsi"/>
          <w:lang w:val="en-GB"/>
        </w:rPr>
        <w:t>), 175–185.</w:t>
      </w:r>
    </w:p>
    <w:p w14:paraId="1702E675" w14:textId="6B06DE5B" w:rsidR="00D449F5" w:rsidRPr="003E29C0" w:rsidRDefault="00D449F5" w:rsidP="00D449F5">
      <w:pPr>
        <w:pStyle w:val="HED-References"/>
        <w:rPr>
          <w:rFonts w:cstheme="minorHAnsi"/>
          <w:lang w:val="en-GB"/>
        </w:rPr>
      </w:pPr>
      <w:proofErr w:type="spellStart"/>
      <w:r w:rsidRPr="003E29C0">
        <w:rPr>
          <w:rFonts w:cstheme="minorHAnsi"/>
          <w:lang w:val="en-GB"/>
        </w:rPr>
        <w:t>Rašticová</w:t>
      </w:r>
      <w:proofErr w:type="spellEnd"/>
      <w:r w:rsidRPr="003E29C0">
        <w:rPr>
          <w:rFonts w:cstheme="minorHAnsi"/>
          <w:lang w:val="en-GB"/>
        </w:rPr>
        <w:t xml:space="preserve">, M., </w:t>
      </w:r>
      <w:proofErr w:type="spellStart"/>
      <w:r w:rsidRPr="003E29C0">
        <w:rPr>
          <w:rFonts w:cstheme="minorHAnsi"/>
          <w:lang w:val="en-GB"/>
        </w:rPr>
        <w:t>Birčiaková</w:t>
      </w:r>
      <w:proofErr w:type="spellEnd"/>
      <w:r w:rsidRPr="003E29C0">
        <w:rPr>
          <w:rFonts w:cstheme="minorHAnsi"/>
          <w:lang w:val="en-GB"/>
        </w:rPr>
        <w:t xml:space="preserve">, N., </w:t>
      </w:r>
      <w:proofErr w:type="spellStart"/>
      <w:r w:rsidRPr="003E29C0">
        <w:rPr>
          <w:rFonts w:cstheme="minorHAnsi"/>
          <w:lang w:val="en-GB"/>
        </w:rPr>
        <w:t>Bédiová</w:t>
      </w:r>
      <w:proofErr w:type="spellEnd"/>
      <w:r w:rsidRPr="003E29C0">
        <w:rPr>
          <w:rFonts w:cstheme="minorHAnsi"/>
          <w:lang w:val="en-GB"/>
        </w:rPr>
        <w:t xml:space="preserve">, M., &amp; </w:t>
      </w:r>
      <w:proofErr w:type="spellStart"/>
      <w:r w:rsidRPr="003E29C0">
        <w:rPr>
          <w:rFonts w:cstheme="minorHAnsi"/>
          <w:lang w:val="en-GB"/>
        </w:rPr>
        <w:t>Mikušová</w:t>
      </w:r>
      <w:proofErr w:type="spellEnd"/>
      <w:r w:rsidRPr="003E29C0">
        <w:rPr>
          <w:rFonts w:cstheme="minorHAnsi"/>
          <w:lang w:val="en-GB"/>
        </w:rPr>
        <w:t>, J. (2019). Older workers economic activity and the health status: the implication of age management. </w:t>
      </w:r>
      <w:r w:rsidRPr="003E29C0">
        <w:rPr>
          <w:rFonts w:cstheme="minorHAnsi"/>
          <w:i/>
          <w:iCs/>
          <w:lang w:val="en-GB"/>
        </w:rPr>
        <w:t>Polish Journal of Management Studies</w:t>
      </w:r>
      <w:r w:rsidRPr="003E29C0">
        <w:rPr>
          <w:rFonts w:cstheme="minorHAnsi"/>
          <w:lang w:val="en-GB"/>
        </w:rPr>
        <w:t>,</w:t>
      </w:r>
      <w:r w:rsidR="0069710B">
        <w:rPr>
          <w:rFonts w:cstheme="minorHAnsi"/>
          <w:lang w:val="en-GB"/>
        </w:rPr>
        <w:t xml:space="preserve"> </w:t>
      </w:r>
      <w:r w:rsidRPr="0069710B">
        <w:rPr>
          <w:rFonts w:cstheme="minorHAnsi"/>
          <w:i/>
          <w:lang w:val="en-GB"/>
        </w:rPr>
        <w:t>19</w:t>
      </w:r>
      <w:r w:rsidR="0069710B">
        <w:rPr>
          <w:rFonts w:cstheme="minorHAnsi"/>
          <w:lang w:val="en-GB"/>
        </w:rPr>
        <w:t xml:space="preserve">(1), </w:t>
      </w:r>
      <w:r w:rsidR="0069710B" w:rsidRPr="0069710B">
        <w:rPr>
          <w:rFonts w:cstheme="minorHAnsi"/>
          <w:lang w:val="en-GB"/>
        </w:rPr>
        <w:t>322</w:t>
      </w:r>
      <w:r w:rsidR="0069710B">
        <w:rPr>
          <w:rFonts w:cstheme="minorHAnsi"/>
          <w:lang w:val="en-GB"/>
        </w:rPr>
        <w:t>–</w:t>
      </w:r>
      <w:r w:rsidR="0069710B" w:rsidRPr="0069710B">
        <w:rPr>
          <w:rFonts w:cstheme="minorHAnsi"/>
          <w:lang w:val="en-GB"/>
        </w:rPr>
        <w:t>337</w:t>
      </w:r>
      <w:r w:rsidRPr="003E29C0">
        <w:rPr>
          <w:rFonts w:cstheme="minorHAnsi"/>
          <w:lang w:val="en-GB"/>
        </w:rPr>
        <w:t>. https://doi.org/10.17512/pjms.2019.19.1.25</w:t>
      </w:r>
    </w:p>
    <w:p w14:paraId="654FCB2D" w14:textId="77777777" w:rsidR="00D449F5" w:rsidRPr="003E29C0" w:rsidRDefault="00D449F5" w:rsidP="00D449F5">
      <w:pPr>
        <w:pStyle w:val="HED-References"/>
        <w:rPr>
          <w:rFonts w:cstheme="minorHAnsi"/>
          <w:lang w:val="en-GB"/>
        </w:rPr>
      </w:pPr>
      <w:r w:rsidRPr="003E29C0">
        <w:rPr>
          <w:rFonts w:cstheme="minorHAnsi"/>
          <w:lang w:val="en-GB"/>
        </w:rPr>
        <w:t xml:space="preserve">Stacho, Z., </w:t>
      </w:r>
      <w:proofErr w:type="spellStart"/>
      <w:r w:rsidRPr="003E29C0">
        <w:rPr>
          <w:rFonts w:cstheme="minorHAnsi"/>
          <w:lang w:val="en-GB"/>
        </w:rPr>
        <w:t>Urbancová</w:t>
      </w:r>
      <w:proofErr w:type="spellEnd"/>
      <w:r w:rsidRPr="003E29C0">
        <w:rPr>
          <w:rFonts w:cstheme="minorHAnsi"/>
          <w:lang w:val="en-GB"/>
        </w:rPr>
        <w:t xml:space="preserve">, H., &amp; </w:t>
      </w:r>
      <w:proofErr w:type="spellStart"/>
      <w:r w:rsidRPr="003E29C0">
        <w:rPr>
          <w:rFonts w:cstheme="minorHAnsi"/>
          <w:lang w:val="en-GB"/>
        </w:rPr>
        <w:t>Stachová</w:t>
      </w:r>
      <w:proofErr w:type="spellEnd"/>
      <w:r w:rsidRPr="003E29C0">
        <w:rPr>
          <w:rFonts w:cstheme="minorHAnsi"/>
          <w:lang w:val="en-GB"/>
        </w:rPr>
        <w:t>, K. (2013). Organisational arrangement of human resources management in organisations operating in Slovakia and Czech Republic. </w:t>
      </w:r>
      <w:r w:rsidRPr="003E29C0">
        <w:rPr>
          <w:rFonts w:cstheme="minorHAnsi"/>
          <w:i/>
          <w:iCs/>
          <w:lang w:val="en-GB"/>
        </w:rPr>
        <w:t xml:space="preserve">Acta Universitatis </w:t>
      </w:r>
      <w:proofErr w:type="spellStart"/>
      <w:r w:rsidRPr="003E29C0">
        <w:rPr>
          <w:rFonts w:cstheme="minorHAnsi"/>
          <w:i/>
          <w:iCs/>
          <w:lang w:val="en-GB"/>
        </w:rPr>
        <w:t>Agriculturae</w:t>
      </w:r>
      <w:proofErr w:type="spellEnd"/>
      <w:r w:rsidRPr="003E29C0">
        <w:rPr>
          <w:rFonts w:cstheme="minorHAnsi"/>
          <w:i/>
          <w:iCs/>
          <w:lang w:val="en-GB"/>
        </w:rPr>
        <w:t xml:space="preserve"> et </w:t>
      </w:r>
      <w:proofErr w:type="spellStart"/>
      <w:r w:rsidRPr="003E29C0">
        <w:rPr>
          <w:rFonts w:cstheme="minorHAnsi"/>
          <w:i/>
          <w:iCs/>
          <w:lang w:val="en-GB"/>
        </w:rPr>
        <w:t>Silviculturae</w:t>
      </w:r>
      <w:proofErr w:type="spellEnd"/>
      <w:r w:rsidRPr="003E29C0">
        <w:rPr>
          <w:rFonts w:cstheme="minorHAnsi"/>
          <w:i/>
          <w:iCs/>
          <w:lang w:val="en-GB"/>
        </w:rPr>
        <w:t xml:space="preserve"> </w:t>
      </w:r>
      <w:proofErr w:type="spellStart"/>
      <w:r w:rsidRPr="003E29C0">
        <w:rPr>
          <w:rFonts w:cstheme="minorHAnsi"/>
          <w:i/>
          <w:iCs/>
          <w:lang w:val="en-GB"/>
        </w:rPr>
        <w:t>Mendelianae</w:t>
      </w:r>
      <w:proofErr w:type="spellEnd"/>
      <w:r w:rsidRPr="003E29C0">
        <w:rPr>
          <w:rFonts w:cstheme="minorHAnsi"/>
          <w:i/>
          <w:iCs/>
          <w:lang w:val="en-GB"/>
        </w:rPr>
        <w:t xml:space="preserve"> </w:t>
      </w:r>
      <w:proofErr w:type="spellStart"/>
      <w:r w:rsidRPr="003E29C0">
        <w:rPr>
          <w:rFonts w:cstheme="minorHAnsi"/>
          <w:i/>
          <w:iCs/>
          <w:lang w:val="en-GB"/>
        </w:rPr>
        <w:t>Brunensis</w:t>
      </w:r>
      <w:proofErr w:type="spellEnd"/>
      <w:r w:rsidRPr="003E29C0">
        <w:rPr>
          <w:rFonts w:cstheme="minorHAnsi"/>
          <w:lang w:val="en-GB"/>
        </w:rPr>
        <w:t>, </w:t>
      </w:r>
      <w:r w:rsidRPr="003E29C0">
        <w:rPr>
          <w:rFonts w:cstheme="minorHAnsi"/>
          <w:i/>
          <w:iCs/>
          <w:lang w:val="en-GB"/>
        </w:rPr>
        <w:t>61</w:t>
      </w:r>
      <w:r w:rsidRPr="003E29C0">
        <w:rPr>
          <w:rFonts w:cstheme="minorHAnsi"/>
          <w:lang w:val="en-GB"/>
        </w:rPr>
        <w:t>(7), 2787–2799. https://doi.org/10.11118/actaun201361072787</w:t>
      </w:r>
    </w:p>
    <w:p w14:paraId="4338CE1E" w14:textId="67C8E502" w:rsidR="00270BDE" w:rsidRPr="003E29C0" w:rsidRDefault="007D50AF" w:rsidP="00D449F5">
      <w:pPr>
        <w:pStyle w:val="HED-References"/>
        <w:rPr>
          <w:rFonts w:cstheme="minorHAnsi"/>
          <w:lang w:val="en-GB"/>
        </w:rPr>
      </w:pPr>
      <w:proofErr w:type="spellStart"/>
      <w:r w:rsidRPr="003E29C0">
        <w:rPr>
          <w:rFonts w:cstheme="minorHAnsi"/>
          <w:lang w:val="en-GB"/>
        </w:rPr>
        <w:t>Urbancová</w:t>
      </w:r>
      <w:proofErr w:type="spellEnd"/>
      <w:r w:rsidRPr="003E29C0">
        <w:rPr>
          <w:rFonts w:cstheme="minorHAnsi"/>
          <w:lang w:val="en-GB"/>
        </w:rPr>
        <w:t xml:space="preserve">, H., &amp; Vrabcová, P. (2020). Age Management as a Human Resources Management Strategy with a Focus on the Primary Sector of the Czech Republic. </w:t>
      </w:r>
      <w:r w:rsidRPr="003E29C0">
        <w:rPr>
          <w:rFonts w:cstheme="minorHAnsi"/>
          <w:i/>
          <w:iCs/>
          <w:lang w:val="en-GB"/>
        </w:rPr>
        <w:t>Agricultural Economics</w:t>
      </w:r>
      <w:r w:rsidRPr="003E29C0">
        <w:rPr>
          <w:rFonts w:cstheme="minorHAnsi"/>
          <w:lang w:val="en-GB"/>
        </w:rPr>
        <w:t xml:space="preserve">, </w:t>
      </w:r>
      <w:r w:rsidRPr="003E29C0">
        <w:rPr>
          <w:rFonts w:cstheme="minorHAnsi"/>
          <w:i/>
          <w:iCs/>
          <w:lang w:val="en-GB"/>
        </w:rPr>
        <w:t>66</w:t>
      </w:r>
      <w:r w:rsidRPr="003E29C0">
        <w:rPr>
          <w:rFonts w:cstheme="minorHAnsi"/>
          <w:lang w:val="en-GB"/>
        </w:rPr>
        <w:t>(6), 251–259. https://doi.org/10.17221/11/2020-agricecon</w:t>
      </w:r>
    </w:p>
    <w:p w14:paraId="5B5CE9D2" w14:textId="5FF48901" w:rsidR="00D449F5" w:rsidRPr="000A110D" w:rsidRDefault="00D449F5" w:rsidP="00D449F5">
      <w:pPr>
        <w:pStyle w:val="HED-References"/>
        <w:rPr>
          <w:lang w:val="en-GB"/>
        </w:rPr>
      </w:pPr>
      <w:r w:rsidRPr="003E29C0">
        <w:rPr>
          <w:rFonts w:cstheme="minorHAnsi"/>
          <w:lang w:val="en-GB"/>
        </w:rPr>
        <w:t xml:space="preserve">von Bonsdorff, M. E., Zhou, L., Wang, M., </w:t>
      </w:r>
      <w:proofErr w:type="spellStart"/>
      <w:r w:rsidRPr="003E29C0">
        <w:rPr>
          <w:rFonts w:cstheme="minorHAnsi"/>
          <w:lang w:val="en-GB"/>
        </w:rPr>
        <w:t>Vanhala</w:t>
      </w:r>
      <w:proofErr w:type="spellEnd"/>
      <w:r w:rsidRPr="003E29C0">
        <w:rPr>
          <w:rFonts w:cstheme="minorHAnsi"/>
          <w:lang w:val="en-GB"/>
        </w:rPr>
        <w:t xml:space="preserve">, S., von Bonsdorff, M. B., &amp; </w:t>
      </w:r>
      <w:proofErr w:type="spellStart"/>
      <w:r w:rsidRPr="003E29C0">
        <w:rPr>
          <w:rFonts w:cstheme="minorHAnsi"/>
          <w:lang w:val="en-GB"/>
        </w:rPr>
        <w:t>Rantanen</w:t>
      </w:r>
      <w:proofErr w:type="spellEnd"/>
      <w:r w:rsidRPr="003E29C0">
        <w:rPr>
          <w:rFonts w:cstheme="minorHAnsi"/>
          <w:lang w:val="en-GB"/>
        </w:rPr>
        <w:t>, T. (2018). Employee age and company performance: An integrated model of aging and human resource management practices. </w:t>
      </w:r>
      <w:r w:rsidRPr="003E29C0">
        <w:rPr>
          <w:rFonts w:cstheme="minorHAnsi"/>
          <w:i/>
          <w:lang w:val="en-GB"/>
        </w:rPr>
        <w:t>Journal of Management</w:t>
      </w:r>
      <w:r w:rsidRPr="003E29C0">
        <w:rPr>
          <w:rFonts w:cstheme="minorHAnsi"/>
          <w:lang w:val="en-GB"/>
        </w:rPr>
        <w:t>, </w:t>
      </w:r>
      <w:r w:rsidRPr="003E29C0">
        <w:rPr>
          <w:rFonts w:cstheme="minorHAnsi"/>
          <w:i/>
          <w:lang w:val="en-GB"/>
        </w:rPr>
        <w:t>44</w:t>
      </w:r>
      <w:r w:rsidRPr="003E29C0">
        <w:rPr>
          <w:rFonts w:cstheme="minorHAnsi"/>
          <w:lang w:val="en-GB"/>
        </w:rPr>
        <w:t xml:space="preserve">(8), 3124–3150. </w:t>
      </w:r>
      <w:r w:rsidRPr="003E29C0">
        <w:rPr>
          <w:rFonts w:cstheme="minorHAnsi"/>
          <w:color w:val="222222"/>
          <w:shd w:val="clear" w:color="auto" w:fill="FFFFFF"/>
          <w:lang w:val="en-GB"/>
        </w:rPr>
        <w:t>https://doi.org/</w:t>
      </w:r>
      <w:r w:rsidRPr="003E29C0">
        <w:rPr>
          <w:rFonts w:cstheme="minorHAnsi"/>
          <w:lang w:val="en-GB"/>
        </w:rPr>
        <w:t>10.1177/0149206316662314</w:t>
      </w:r>
      <w:bookmarkEnd w:id="2"/>
    </w:p>
    <w:sectPr w:rsidR="00D449F5" w:rsidRPr="000A110D" w:rsidSect="002B585E">
      <w:headerReference w:type="first" r:id="rId12"/>
      <w:pgSz w:w="11906" w:h="16838" w:code="9"/>
      <w:pgMar w:top="1417" w:right="1531" w:bottom="1077" w:left="1418"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6695" w14:textId="77777777" w:rsidR="00956EC5" w:rsidRDefault="00956EC5">
      <w:pPr>
        <w:spacing w:line="240" w:lineRule="auto"/>
      </w:pPr>
      <w:r>
        <w:separator/>
      </w:r>
    </w:p>
  </w:endnote>
  <w:endnote w:type="continuationSeparator" w:id="0">
    <w:p w14:paraId="2D3FF7A5" w14:textId="77777777" w:rsidR="00956EC5" w:rsidRDefault="00956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E6AF" w14:textId="77777777" w:rsidR="00956EC5" w:rsidRDefault="00956EC5">
      <w:pPr>
        <w:spacing w:line="240" w:lineRule="auto"/>
      </w:pPr>
      <w:r>
        <w:separator/>
      </w:r>
    </w:p>
  </w:footnote>
  <w:footnote w:type="continuationSeparator" w:id="0">
    <w:p w14:paraId="72DAB8F0" w14:textId="77777777" w:rsidR="00956EC5" w:rsidRDefault="00956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A13A" w14:textId="77777777" w:rsidR="00B45C51" w:rsidRDefault="00C70103" w:rsidP="00C70103">
    <w:pPr>
      <w:pStyle w:val="HEDHEADER"/>
      <w:jc w:val="right"/>
    </w:pPr>
    <w:r>
      <w:rPr>
        <w:noProof/>
      </w:rPr>
      <w:drawing>
        <wp:inline distT="0" distB="0" distL="0" distR="0" wp14:anchorId="233796F8" wp14:editId="26A77678">
          <wp:extent cx="1689735" cy="260350"/>
          <wp:effectExtent l="0" t="0" r="0" b="0"/>
          <wp:docPr id="27"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lum bright="50000" contrast="-26000"/>
                    <a:extLst>
                      <a:ext uri="{28A0092B-C50C-407E-A947-70E740481C1C}">
                        <a14:useLocalDpi xmlns:a14="http://schemas.microsoft.com/office/drawing/2010/main" val="0"/>
                      </a:ext>
                    </a:extLst>
                  </a:blip>
                  <a:srcRect/>
                  <a:stretch>
                    <a:fillRect/>
                  </a:stretch>
                </pic:blipFill>
                <pic:spPr bwMode="auto">
                  <a:xfrm>
                    <a:off x="0" y="0"/>
                    <a:ext cx="1689735" cy="260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CB1EE6A2"/>
    <w:lvl w:ilvl="0" w:tplc="CDCEE7DA">
      <w:start w:val="1"/>
      <w:numFmt w:val="decimal"/>
      <w:pStyle w:val="HED-itemlist"/>
      <w:lvlText w:val="%1."/>
      <w:lvlJc w:val="left"/>
      <w:pPr>
        <w:ind w:left="3949" w:hanging="360"/>
      </w:pPr>
    </w:lvl>
    <w:lvl w:ilvl="1" w:tplc="04050017">
      <w:start w:val="1"/>
      <w:numFmt w:val="lowerLetter"/>
      <w:lvlText w:val="%2)"/>
      <w:lvlJc w:val="left"/>
      <w:pPr>
        <w:ind w:left="4669" w:hanging="360"/>
      </w:pPr>
    </w:lvl>
    <w:lvl w:ilvl="2" w:tplc="0807001B" w:tentative="1">
      <w:start w:val="1"/>
      <w:numFmt w:val="lowerRoman"/>
      <w:lvlText w:val="%3."/>
      <w:lvlJc w:val="right"/>
      <w:pPr>
        <w:ind w:left="5389" w:hanging="180"/>
      </w:pPr>
    </w:lvl>
    <w:lvl w:ilvl="3" w:tplc="0807000F" w:tentative="1">
      <w:start w:val="1"/>
      <w:numFmt w:val="decimal"/>
      <w:lvlText w:val="%4."/>
      <w:lvlJc w:val="left"/>
      <w:pPr>
        <w:ind w:left="6109" w:hanging="360"/>
      </w:pPr>
    </w:lvl>
    <w:lvl w:ilvl="4" w:tplc="08070019" w:tentative="1">
      <w:start w:val="1"/>
      <w:numFmt w:val="lowerLetter"/>
      <w:lvlText w:val="%5."/>
      <w:lvlJc w:val="left"/>
      <w:pPr>
        <w:ind w:left="6829" w:hanging="360"/>
      </w:pPr>
    </w:lvl>
    <w:lvl w:ilvl="5" w:tplc="0807001B" w:tentative="1">
      <w:start w:val="1"/>
      <w:numFmt w:val="lowerRoman"/>
      <w:lvlText w:val="%6."/>
      <w:lvlJc w:val="right"/>
      <w:pPr>
        <w:ind w:left="7549" w:hanging="180"/>
      </w:pPr>
    </w:lvl>
    <w:lvl w:ilvl="6" w:tplc="0807000F" w:tentative="1">
      <w:start w:val="1"/>
      <w:numFmt w:val="decimal"/>
      <w:lvlText w:val="%7."/>
      <w:lvlJc w:val="left"/>
      <w:pPr>
        <w:ind w:left="8269" w:hanging="360"/>
      </w:pPr>
    </w:lvl>
    <w:lvl w:ilvl="7" w:tplc="08070019" w:tentative="1">
      <w:start w:val="1"/>
      <w:numFmt w:val="lowerLetter"/>
      <w:lvlText w:val="%8."/>
      <w:lvlJc w:val="left"/>
      <w:pPr>
        <w:ind w:left="8989" w:hanging="360"/>
      </w:pPr>
    </w:lvl>
    <w:lvl w:ilvl="8" w:tplc="0807001B" w:tentative="1">
      <w:start w:val="1"/>
      <w:numFmt w:val="lowerRoman"/>
      <w:lvlText w:val="%9."/>
      <w:lvlJc w:val="right"/>
      <w:pPr>
        <w:ind w:left="9709" w:hanging="180"/>
      </w:pPr>
    </w:lvl>
  </w:abstractNum>
  <w:abstractNum w:abstractNumId="2" w15:restartNumberingAfterBreak="0">
    <w:nsid w:val="369A6535"/>
    <w:multiLevelType w:val="hybridMultilevel"/>
    <w:tmpl w:val="3CB68362"/>
    <w:lvl w:ilvl="0" w:tplc="B2367048">
      <w:start w:val="1"/>
      <w:numFmt w:val="bullet"/>
      <w:pStyle w:val="HED-bulletlist"/>
      <w:lvlText w:val=""/>
      <w:lvlJc w:val="left"/>
      <w:pPr>
        <w:ind w:left="3109" w:hanging="360"/>
      </w:pPr>
      <w:rPr>
        <w:rFonts w:ascii="Symbol" w:hAnsi="Symbol" w:hint="default"/>
      </w:rPr>
    </w:lvl>
    <w:lvl w:ilvl="1" w:tplc="08070003">
      <w:start w:val="1"/>
      <w:numFmt w:val="bullet"/>
      <w:lvlText w:val="o"/>
      <w:lvlJc w:val="left"/>
      <w:pPr>
        <w:ind w:left="3829" w:hanging="360"/>
      </w:pPr>
      <w:rPr>
        <w:rFonts w:ascii="Courier New" w:hAnsi="Courier New" w:cs="Courier New" w:hint="default"/>
      </w:rPr>
    </w:lvl>
    <w:lvl w:ilvl="2" w:tplc="08070005">
      <w:start w:val="1"/>
      <w:numFmt w:val="bullet"/>
      <w:lvlText w:val=""/>
      <w:lvlJc w:val="left"/>
      <w:pPr>
        <w:ind w:left="4549" w:hanging="360"/>
      </w:pPr>
      <w:rPr>
        <w:rFonts w:ascii="Wingdings" w:hAnsi="Wingdings" w:hint="default"/>
      </w:rPr>
    </w:lvl>
    <w:lvl w:ilvl="3" w:tplc="08070001" w:tentative="1">
      <w:start w:val="1"/>
      <w:numFmt w:val="bullet"/>
      <w:lvlText w:val=""/>
      <w:lvlJc w:val="left"/>
      <w:pPr>
        <w:ind w:left="5269" w:hanging="360"/>
      </w:pPr>
      <w:rPr>
        <w:rFonts w:ascii="Symbol" w:hAnsi="Symbol" w:hint="default"/>
      </w:rPr>
    </w:lvl>
    <w:lvl w:ilvl="4" w:tplc="08070003" w:tentative="1">
      <w:start w:val="1"/>
      <w:numFmt w:val="bullet"/>
      <w:lvlText w:val="o"/>
      <w:lvlJc w:val="left"/>
      <w:pPr>
        <w:ind w:left="5989" w:hanging="360"/>
      </w:pPr>
      <w:rPr>
        <w:rFonts w:ascii="Courier New" w:hAnsi="Courier New" w:cs="Courier New" w:hint="default"/>
      </w:rPr>
    </w:lvl>
    <w:lvl w:ilvl="5" w:tplc="08070005" w:tentative="1">
      <w:start w:val="1"/>
      <w:numFmt w:val="bullet"/>
      <w:lvlText w:val=""/>
      <w:lvlJc w:val="left"/>
      <w:pPr>
        <w:ind w:left="6709" w:hanging="360"/>
      </w:pPr>
      <w:rPr>
        <w:rFonts w:ascii="Wingdings" w:hAnsi="Wingdings" w:hint="default"/>
      </w:rPr>
    </w:lvl>
    <w:lvl w:ilvl="6" w:tplc="08070001" w:tentative="1">
      <w:start w:val="1"/>
      <w:numFmt w:val="bullet"/>
      <w:lvlText w:val=""/>
      <w:lvlJc w:val="left"/>
      <w:pPr>
        <w:ind w:left="7429" w:hanging="360"/>
      </w:pPr>
      <w:rPr>
        <w:rFonts w:ascii="Symbol" w:hAnsi="Symbol" w:hint="default"/>
      </w:rPr>
    </w:lvl>
    <w:lvl w:ilvl="7" w:tplc="08070003" w:tentative="1">
      <w:start w:val="1"/>
      <w:numFmt w:val="bullet"/>
      <w:lvlText w:val="o"/>
      <w:lvlJc w:val="left"/>
      <w:pPr>
        <w:ind w:left="8149" w:hanging="360"/>
      </w:pPr>
      <w:rPr>
        <w:rFonts w:ascii="Courier New" w:hAnsi="Courier New" w:cs="Courier New" w:hint="default"/>
      </w:rPr>
    </w:lvl>
    <w:lvl w:ilvl="8" w:tplc="08070005" w:tentative="1">
      <w:start w:val="1"/>
      <w:numFmt w:val="bullet"/>
      <w:lvlText w:val=""/>
      <w:lvlJc w:val="left"/>
      <w:pPr>
        <w:ind w:left="8869" w:hanging="360"/>
      </w:pPr>
      <w:rPr>
        <w:rFonts w:ascii="Wingdings" w:hAnsi="Wingdings" w:hint="default"/>
      </w:rPr>
    </w:lvl>
  </w:abstractNum>
  <w:abstractNum w:abstractNumId="3" w15:restartNumberingAfterBreak="0">
    <w:nsid w:val="46347D39"/>
    <w:multiLevelType w:val="hybridMultilevel"/>
    <w:tmpl w:val="8480A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 w:numId="6">
    <w:abstractNumId w:val="2"/>
  </w:num>
  <w:num w:numId="7">
    <w:abstractNumId w:val="2"/>
  </w:num>
  <w:num w:numId="8">
    <w:abstractNumId w:val="1"/>
  </w:num>
  <w:num w:numId="9">
    <w:abstractNumId w:val="3"/>
  </w:num>
  <w:num w:numId="10">
    <w:abstractNumId w:val="2"/>
  </w:num>
  <w:num w:numId="11">
    <w:abstractNumId w:val="2"/>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ysbQwMze1NDVV0lEKTi0uzszPAykwrwUAMpWv1CwAAAA="/>
  </w:docVars>
  <w:rsids>
    <w:rsidRoot w:val="006F36A2"/>
    <w:rsid w:val="0001174F"/>
    <w:rsid w:val="00024BD7"/>
    <w:rsid w:val="00024C27"/>
    <w:rsid w:val="00030482"/>
    <w:rsid w:val="00033EBA"/>
    <w:rsid w:val="0003428E"/>
    <w:rsid w:val="00034DBD"/>
    <w:rsid w:val="00055A3C"/>
    <w:rsid w:val="0006653C"/>
    <w:rsid w:val="00070926"/>
    <w:rsid w:val="00073885"/>
    <w:rsid w:val="00077001"/>
    <w:rsid w:val="00077F15"/>
    <w:rsid w:val="000830AF"/>
    <w:rsid w:val="00084100"/>
    <w:rsid w:val="0008739D"/>
    <w:rsid w:val="00087521"/>
    <w:rsid w:val="000A110D"/>
    <w:rsid w:val="000A4247"/>
    <w:rsid w:val="000A78AF"/>
    <w:rsid w:val="000B185E"/>
    <w:rsid w:val="000D52B4"/>
    <w:rsid w:val="000E4F3C"/>
    <w:rsid w:val="000E79FB"/>
    <w:rsid w:val="00101D43"/>
    <w:rsid w:val="001137D0"/>
    <w:rsid w:val="0011774D"/>
    <w:rsid w:val="00123D04"/>
    <w:rsid w:val="00124408"/>
    <w:rsid w:val="00131425"/>
    <w:rsid w:val="0013148D"/>
    <w:rsid w:val="001418AA"/>
    <w:rsid w:val="0014600E"/>
    <w:rsid w:val="0015348A"/>
    <w:rsid w:val="00162E2F"/>
    <w:rsid w:val="00176693"/>
    <w:rsid w:val="00184034"/>
    <w:rsid w:val="001A48EB"/>
    <w:rsid w:val="001B35BC"/>
    <w:rsid w:val="001E2AEB"/>
    <w:rsid w:val="001E5270"/>
    <w:rsid w:val="001F78A6"/>
    <w:rsid w:val="00203042"/>
    <w:rsid w:val="0020542A"/>
    <w:rsid w:val="0021195D"/>
    <w:rsid w:val="00221215"/>
    <w:rsid w:val="00221DA9"/>
    <w:rsid w:val="00224E8C"/>
    <w:rsid w:val="002253D3"/>
    <w:rsid w:val="00235E47"/>
    <w:rsid w:val="002449A3"/>
    <w:rsid w:val="00251062"/>
    <w:rsid w:val="0027005B"/>
    <w:rsid w:val="00270BDE"/>
    <w:rsid w:val="00273BF8"/>
    <w:rsid w:val="00275065"/>
    <w:rsid w:val="00283F5A"/>
    <w:rsid w:val="00291D2D"/>
    <w:rsid w:val="00293AEE"/>
    <w:rsid w:val="002A19CF"/>
    <w:rsid w:val="002B585E"/>
    <w:rsid w:val="002D181E"/>
    <w:rsid w:val="00324418"/>
    <w:rsid w:val="00326141"/>
    <w:rsid w:val="003305E2"/>
    <w:rsid w:val="003325F5"/>
    <w:rsid w:val="00347863"/>
    <w:rsid w:val="0035090A"/>
    <w:rsid w:val="00356913"/>
    <w:rsid w:val="00360235"/>
    <w:rsid w:val="003700F3"/>
    <w:rsid w:val="00375D80"/>
    <w:rsid w:val="0038121B"/>
    <w:rsid w:val="003A6211"/>
    <w:rsid w:val="003B5371"/>
    <w:rsid w:val="003D5152"/>
    <w:rsid w:val="003D5B69"/>
    <w:rsid w:val="003D5B9E"/>
    <w:rsid w:val="003E0881"/>
    <w:rsid w:val="003E1CB0"/>
    <w:rsid w:val="003E29C0"/>
    <w:rsid w:val="00401D30"/>
    <w:rsid w:val="0041021C"/>
    <w:rsid w:val="00413450"/>
    <w:rsid w:val="004219C0"/>
    <w:rsid w:val="004308F7"/>
    <w:rsid w:val="0043491D"/>
    <w:rsid w:val="00435EAF"/>
    <w:rsid w:val="004417E8"/>
    <w:rsid w:val="004451DA"/>
    <w:rsid w:val="00447ECA"/>
    <w:rsid w:val="00463D9C"/>
    <w:rsid w:val="004705F3"/>
    <w:rsid w:val="004711DD"/>
    <w:rsid w:val="004712D4"/>
    <w:rsid w:val="00481C18"/>
    <w:rsid w:val="00484194"/>
    <w:rsid w:val="004861EB"/>
    <w:rsid w:val="004900FE"/>
    <w:rsid w:val="00494A31"/>
    <w:rsid w:val="004B7319"/>
    <w:rsid w:val="004D5F1E"/>
    <w:rsid w:val="004E4F54"/>
    <w:rsid w:val="004E6229"/>
    <w:rsid w:val="00517DB6"/>
    <w:rsid w:val="00520B7D"/>
    <w:rsid w:val="00522914"/>
    <w:rsid w:val="00524477"/>
    <w:rsid w:val="005359B4"/>
    <w:rsid w:val="0053602C"/>
    <w:rsid w:val="00551D89"/>
    <w:rsid w:val="00553BD6"/>
    <w:rsid w:val="00556A2B"/>
    <w:rsid w:val="00560D9B"/>
    <w:rsid w:val="00561857"/>
    <w:rsid w:val="00562507"/>
    <w:rsid w:val="00574AD5"/>
    <w:rsid w:val="00584A4C"/>
    <w:rsid w:val="00584A7B"/>
    <w:rsid w:val="00597E05"/>
    <w:rsid w:val="005A1308"/>
    <w:rsid w:val="005A1AFA"/>
    <w:rsid w:val="005B0D0F"/>
    <w:rsid w:val="005C4856"/>
    <w:rsid w:val="005C4966"/>
    <w:rsid w:val="005C55F1"/>
    <w:rsid w:val="005C6338"/>
    <w:rsid w:val="005D1739"/>
    <w:rsid w:val="005E2377"/>
    <w:rsid w:val="005E613C"/>
    <w:rsid w:val="005E66DC"/>
    <w:rsid w:val="005E7B38"/>
    <w:rsid w:val="005F7DD5"/>
    <w:rsid w:val="00600B1A"/>
    <w:rsid w:val="0060331D"/>
    <w:rsid w:val="0061096D"/>
    <w:rsid w:val="00616083"/>
    <w:rsid w:val="00616088"/>
    <w:rsid w:val="0062223B"/>
    <w:rsid w:val="00623368"/>
    <w:rsid w:val="006335F0"/>
    <w:rsid w:val="00656BF4"/>
    <w:rsid w:val="00692393"/>
    <w:rsid w:val="0069710B"/>
    <w:rsid w:val="006A48DD"/>
    <w:rsid w:val="006B2298"/>
    <w:rsid w:val="006B4222"/>
    <w:rsid w:val="006C0D9B"/>
    <w:rsid w:val="006C33CB"/>
    <w:rsid w:val="006C4E43"/>
    <w:rsid w:val="006D0793"/>
    <w:rsid w:val="006E1C11"/>
    <w:rsid w:val="006E7170"/>
    <w:rsid w:val="006F36A2"/>
    <w:rsid w:val="006F389D"/>
    <w:rsid w:val="00700160"/>
    <w:rsid w:val="007029D8"/>
    <w:rsid w:val="00710501"/>
    <w:rsid w:val="007249DA"/>
    <w:rsid w:val="0072689B"/>
    <w:rsid w:val="00745526"/>
    <w:rsid w:val="007501F6"/>
    <w:rsid w:val="00751B4A"/>
    <w:rsid w:val="007521CF"/>
    <w:rsid w:val="007708DC"/>
    <w:rsid w:val="007929DA"/>
    <w:rsid w:val="00793FDE"/>
    <w:rsid w:val="007B24D2"/>
    <w:rsid w:val="007B7C0C"/>
    <w:rsid w:val="007D4E71"/>
    <w:rsid w:val="007D50AF"/>
    <w:rsid w:val="007E5E72"/>
    <w:rsid w:val="007F5742"/>
    <w:rsid w:val="007F6D37"/>
    <w:rsid w:val="008034A8"/>
    <w:rsid w:val="008035C9"/>
    <w:rsid w:val="00805CD6"/>
    <w:rsid w:val="00832B06"/>
    <w:rsid w:val="0083563B"/>
    <w:rsid w:val="00835A52"/>
    <w:rsid w:val="00840590"/>
    <w:rsid w:val="0085210A"/>
    <w:rsid w:val="0086359F"/>
    <w:rsid w:val="0086376D"/>
    <w:rsid w:val="008642D5"/>
    <w:rsid w:val="008676A3"/>
    <w:rsid w:val="00871071"/>
    <w:rsid w:val="00877A48"/>
    <w:rsid w:val="00881F81"/>
    <w:rsid w:val="0088688D"/>
    <w:rsid w:val="00895055"/>
    <w:rsid w:val="008B164D"/>
    <w:rsid w:val="008B4882"/>
    <w:rsid w:val="008C0DB9"/>
    <w:rsid w:val="008C3E4B"/>
    <w:rsid w:val="008C5A8D"/>
    <w:rsid w:val="008D704F"/>
    <w:rsid w:val="008D71F3"/>
    <w:rsid w:val="008E0F39"/>
    <w:rsid w:val="008E204D"/>
    <w:rsid w:val="008F35F2"/>
    <w:rsid w:val="00917FC6"/>
    <w:rsid w:val="009300BB"/>
    <w:rsid w:val="00933EA0"/>
    <w:rsid w:val="009341FC"/>
    <w:rsid w:val="0095158F"/>
    <w:rsid w:val="00956EC5"/>
    <w:rsid w:val="00957A10"/>
    <w:rsid w:val="00960101"/>
    <w:rsid w:val="0096220A"/>
    <w:rsid w:val="00962B87"/>
    <w:rsid w:val="00962C32"/>
    <w:rsid w:val="0096529C"/>
    <w:rsid w:val="0096591C"/>
    <w:rsid w:val="0097760E"/>
    <w:rsid w:val="009B1B29"/>
    <w:rsid w:val="009B33EA"/>
    <w:rsid w:val="009C3A4C"/>
    <w:rsid w:val="009C63C8"/>
    <w:rsid w:val="009E35D4"/>
    <w:rsid w:val="009F70E6"/>
    <w:rsid w:val="009F7957"/>
    <w:rsid w:val="00A011FE"/>
    <w:rsid w:val="00A14308"/>
    <w:rsid w:val="00A30FE3"/>
    <w:rsid w:val="00A413BA"/>
    <w:rsid w:val="00A52F19"/>
    <w:rsid w:val="00A570B0"/>
    <w:rsid w:val="00A6285A"/>
    <w:rsid w:val="00A81804"/>
    <w:rsid w:val="00A90C5D"/>
    <w:rsid w:val="00A973DD"/>
    <w:rsid w:val="00AB1B72"/>
    <w:rsid w:val="00AB3EBF"/>
    <w:rsid w:val="00AB7A5F"/>
    <w:rsid w:val="00AE5510"/>
    <w:rsid w:val="00AE6308"/>
    <w:rsid w:val="00AF7ABF"/>
    <w:rsid w:val="00B22CA7"/>
    <w:rsid w:val="00B279AC"/>
    <w:rsid w:val="00B420B6"/>
    <w:rsid w:val="00B447AA"/>
    <w:rsid w:val="00B45C51"/>
    <w:rsid w:val="00B47AA1"/>
    <w:rsid w:val="00B56991"/>
    <w:rsid w:val="00B6190F"/>
    <w:rsid w:val="00B6560F"/>
    <w:rsid w:val="00B67C07"/>
    <w:rsid w:val="00B7090B"/>
    <w:rsid w:val="00B70E59"/>
    <w:rsid w:val="00B71CB2"/>
    <w:rsid w:val="00B733FE"/>
    <w:rsid w:val="00B809D3"/>
    <w:rsid w:val="00B80A56"/>
    <w:rsid w:val="00B871BB"/>
    <w:rsid w:val="00B93307"/>
    <w:rsid w:val="00BA0A2C"/>
    <w:rsid w:val="00BA2F64"/>
    <w:rsid w:val="00BA7F68"/>
    <w:rsid w:val="00BB67A4"/>
    <w:rsid w:val="00BC15BC"/>
    <w:rsid w:val="00BC32FA"/>
    <w:rsid w:val="00BD0B60"/>
    <w:rsid w:val="00BD3635"/>
    <w:rsid w:val="00BD3AFF"/>
    <w:rsid w:val="00BD7E93"/>
    <w:rsid w:val="00BE027B"/>
    <w:rsid w:val="00BF382B"/>
    <w:rsid w:val="00C007F0"/>
    <w:rsid w:val="00C00B18"/>
    <w:rsid w:val="00C0581E"/>
    <w:rsid w:val="00C24931"/>
    <w:rsid w:val="00C3193B"/>
    <w:rsid w:val="00C33F1C"/>
    <w:rsid w:val="00C3538E"/>
    <w:rsid w:val="00C36587"/>
    <w:rsid w:val="00C409A4"/>
    <w:rsid w:val="00C429E0"/>
    <w:rsid w:val="00C42C58"/>
    <w:rsid w:val="00C50C1A"/>
    <w:rsid w:val="00C5271E"/>
    <w:rsid w:val="00C55DC0"/>
    <w:rsid w:val="00C70103"/>
    <w:rsid w:val="00C740F8"/>
    <w:rsid w:val="00C77FA8"/>
    <w:rsid w:val="00C8066D"/>
    <w:rsid w:val="00C9444D"/>
    <w:rsid w:val="00CC693E"/>
    <w:rsid w:val="00CC76D5"/>
    <w:rsid w:val="00CD5D24"/>
    <w:rsid w:val="00CE07C3"/>
    <w:rsid w:val="00CE56CA"/>
    <w:rsid w:val="00CF1BD5"/>
    <w:rsid w:val="00CF5F4E"/>
    <w:rsid w:val="00D02714"/>
    <w:rsid w:val="00D25900"/>
    <w:rsid w:val="00D2627D"/>
    <w:rsid w:val="00D40F5B"/>
    <w:rsid w:val="00D449F5"/>
    <w:rsid w:val="00D565EE"/>
    <w:rsid w:val="00D61749"/>
    <w:rsid w:val="00D628F4"/>
    <w:rsid w:val="00D6359B"/>
    <w:rsid w:val="00D7310F"/>
    <w:rsid w:val="00D7553C"/>
    <w:rsid w:val="00D75D74"/>
    <w:rsid w:val="00D7664A"/>
    <w:rsid w:val="00D93C5C"/>
    <w:rsid w:val="00D95406"/>
    <w:rsid w:val="00DC0AB5"/>
    <w:rsid w:val="00DC2F22"/>
    <w:rsid w:val="00DC60D0"/>
    <w:rsid w:val="00DD2871"/>
    <w:rsid w:val="00DF03AB"/>
    <w:rsid w:val="00DF3129"/>
    <w:rsid w:val="00DF583A"/>
    <w:rsid w:val="00DF5EA4"/>
    <w:rsid w:val="00E11CF4"/>
    <w:rsid w:val="00E155D9"/>
    <w:rsid w:val="00E36C36"/>
    <w:rsid w:val="00E4611C"/>
    <w:rsid w:val="00E50AB1"/>
    <w:rsid w:val="00E558FC"/>
    <w:rsid w:val="00E5752F"/>
    <w:rsid w:val="00E60880"/>
    <w:rsid w:val="00E60A93"/>
    <w:rsid w:val="00E74969"/>
    <w:rsid w:val="00E801C5"/>
    <w:rsid w:val="00E93F32"/>
    <w:rsid w:val="00EC11CF"/>
    <w:rsid w:val="00EC6BBD"/>
    <w:rsid w:val="00ED231E"/>
    <w:rsid w:val="00EE3C55"/>
    <w:rsid w:val="00F24B68"/>
    <w:rsid w:val="00F31A77"/>
    <w:rsid w:val="00F40F87"/>
    <w:rsid w:val="00F42833"/>
    <w:rsid w:val="00F5272E"/>
    <w:rsid w:val="00F5791E"/>
    <w:rsid w:val="00F61029"/>
    <w:rsid w:val="00F9100A"/>
    <w:rsid w:val="00FA07D5"/>
    <w:rsid w:val="00FA2095"/>
    <w:rsid w:val="00FB0727"/>
    <w:rsid w:val="00FB4431"/>
    <w:rsid w:val="00FC5F98"/>
    <w:rsid w:val="00FC7B3E"/>
    <w:rsid w:val="00FD4CFC"/>
    <w:rsid w:val="00FD4FE5"/>
    <w:rsid w:val="00FD52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2BB42"/>
  <w15:chartTrackingRefBased/>
  <w15:docId w15:val="{7650AB15-92D1-4FD7-80E2-3617B292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ln">
    <w:name w:val="Normal"/>
    <w:qFormat/>
    <w:rsid w:val="0011774D"/>
    <w:pPr>
      <w:spacing w:after="160" w:line="259" w:lineRule="auto"/>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4308"/>
    <w:rPr>
      <w:color w:val="808080"/>
    </w:rPr>
  </w:style>
  <w:style w:type="paragraph" w:customStyle="1" w:styleId="HED-title">
    <w:name w:val="HED-title"/>
    <w:next w:val="HED-authors"/>
    <w:rsid w:val="009F7957"/>
    <w:pPr>
      <w:suppressLineNumbers/>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HED-authors">
    <w:name w:val="HED-authors"/>
    <w:basedOn w:val="HED-text"/>
    <w:next w:val="HED-affiliationandcorrespondece"/>
    <w:qFormat/>
    <w:rsid w:val="00101D43"/>
    <w:pPr>
      <w:spacing w:after="120"/>
      <w:ind w:firstLine="0"/>
      <w:jc w:val="left"/>
    </w:pPr>
    <w:rPr>
      <w:b/>
      <w:snapToGrid/>
    </w:rPr>
  </w:style>
  <w:style w:type="paragraph" w:customStyle="1" w:styleId="HED-affiliationandcorrespondece">
    <w:name w:val="HED-affiliation_and_correspondece"/>
    <w:basedOn w:val="HED-acknowledgments"/>
    <w:qFormat/>
    <w:rsid w:val="007B7C0C"/>
    <w:pPr>
      <w:spacing w:before="0"/>
      <w:ind w:left="198" w:hanging="198"/>
      <w:jc w:val="left"/>
    </w:pPr>
    <w:rPr>
      <w:snapToGrid/>
      <w:szCs w:val="18"/>
    </w:rPr>
  </w:style>
  <w:style w:type="paragraph" w:customStyle="1" w:styleId="HED-abstract">
    <w:name w:val="HED-abstract"/>
    <w:basedOn w:val="HED-text"/>
    <w:next w:val="HED-keywordsandJEL"/>
    <w:qFormat/>
    <w:rsid w:val="007B7C0C"/>
    <w:pPr>
      <w:spacing w:before="240"/>
      <w:ind w:firstLine="0"/>
    </w:pPr>
    <w:rPr>
      <w:snapToGrid/>
    </w:rPr>
  </w:style>
  <w:style w:type="paragraph" w:customStyle="1" w:styleId="HED-keywordsandJEL">
    <w:name w:val="HED-keywords_and_JEL"/>
    <w:basedOn w:val="HED-text"/>
    <w:next w:val="Normln"/>
    <w:qFormat/>
    <w:rsid w:val="00077F15"/>
    <w:pPr>
      <w:pBdr>
        <w:bottom w:val="single" w:sz="4" w:space="1" w:color="auto"/>
      </w:pBdr>
      <w:spacing w:before="240"/>
      <w:ind w:firstLine="0"/>
    </w:pPr>
  </w:style>
  <w:style w:type="paragraph" w:customStyle="1" w:styleId="HED-itemlist">
    <w:name w:val="HED-item_list"/>
    <w:basedOn w:val="HED-text"/>
    <w:qFormat/>
    <w:rsid w:val="00A52F19"/>
    <w:pPr>
      <w:numPr>
        <w:numId w:val="1"/>
      </w:numPr>
      <w:spacing w:before="120" w:after="120"/>
      <w:ind w:left="357" w:hanging="357"/>
      <w:contextualSpacing/>
    </w:pPr>
  </w:style>
  <w:style w:type="paragraph" w:customStyle="1" w:styleId="HED-bulletlist">
    <w:name w:val="HED-bullet_list"/>
    <w:basedOn w:val="HED-text"/>
    <w:qFormat/>
    <w:rsid w:val="00A52F19"/>
    <w:pPr>
      <w:numPr>
        <w:numId w:val="2"/>
      </w:numPr>
      <w:spacing w:before="120" w:after="120"/>
      <w:contextualSpacing/>
    </w:pPr>
  </w:style>
  <w:style w:type="paragraph" w:customStyle="1" w:styleId="HED-equation">
    <w:name w:val="HED-equation"/>
    <w:basedOn w:val="HED-text"/>
    <w:qFormat/>
    <w:rsid w:val="007708DC"/>
    <w:pPr>
      <w:spacing w:before="120" w:after="120"/>
      <w:ind w:left="709" w:firstLine="0"/>
      <w:jc w:val="center"/>
    </w:pPr>
    <w:rPr>
      <w:i/>
    </w:rPr>
  </w:style>
  <w:style w:type="paragraph" w:customStyle="1" w:styleId="HED-equationno">
    <w:name w:val="HED-equation_no."/>
    <w:basedOn w:val="HED-text"/>
    <w:next w:val="HED-text"/>
    <w:qFormat/>
    <w:rsid w:val="00101D43"/>
    <w:pPr>
      <w:spacing w:before="120" w:after="120" w:line="240" w:lineRule="auto"/>
      <w:ind w:firstLine="0"/>
      <w:jc w:val="right"/>
    </w:pPr>
  </w:style>
  <w:style w:type="paragraph" w:customStyle="1" w:styleId="HED-acknowledgments">
    <w:name w:val="HED-acknowledgments"/>
    <w:qFormat/>
    <w:rsid w:val="00895055"/>
    <w:pPr>
      <w:suppressLineNumbers/>
      <w:adjustRightInd w:val="0"/>
      <w:snapToGrid w:val="0"/>
      <w:spacing w:before="120" w:line="276" w:lineRule="auto"/>
      <w:jc w:val="both"/>
    </w:pPr>
    <w:rPr>
      <w:rFonts w:ascii="Palatino Linotype" w:eastAsia="Times New Roman" w:hAnsi="Palatino Linotype"/>
      <w:snapToGrid w:val="0"/>
      <w:color w:val="000000"/>
      <w:sz w:val="18"/>
      <w:lang w:val="en-US" w:eastAsia="de-DE" w:bidi="en-US"/>
    </w:rPr>
  </w:style>
  <w:style w:type="paragraph" w:customStyle="1" w:styleId="HED-tablecaption">
    <w:name w:val="HED-table_caption"/>
    <w:basedOn w:val="HED-acknowledgments"/>
    <w:next w:val="HED-text"/>
    <w:qFormat/>
    <w:rsid w:val="007929DA"/>
    <w:pPr>
      <w:spacing w:after="120" w:line="260" w:lineRule="atLeast"/>
      <w:ind w:left="425" w:right="425"/>
      <w:contextualSpacing/>
      <w:jc w:val="left"/>
    </w:pPr>
    <w:rPr>
      <w:snapToGrid/>
      <w:szCs w:val="22"/>
    </w:rPr>
  </w:style>
  <w:style w:type="paragraph" w:customStyle="1" w:styleId="HED-tablebody">
    <w:name w:val="HED-table_body"/>
    <w:qFormat/>
    <w:rsid w:val="00597E05"/>
    <w:pPr>
      <w:suppressLineNumbers/>
      <w:adjustRightInd w:val="0"/>
      <w:snapToGrid w:val="0"/>
      <w:spacing w:line="260" w:lineRule="atLeast"/>
      <w:jc w:val="center"/>
    </w:pPr>
    <w:rPr>
      <w:rFonts w:ascii="Palatino Linotype" w:eastAsia="Times New Roman" w:hAnsi="Palatino Linotype"/>
      <w:snapToGrid w:val="0"/>
      <w:color w:val="000000"/>
      <w:sz w:val="18"/>
      <w:lang w:val="en-US" w:eastAsia="de-DE" w:bidi="en-US"/>
    </w:rPr>
  </w:style>
  <w:style w:type="paragraph" w:customStyle="1" w:styleId="HED-tablefooter">
    <w:name w:val="HED-table_footer"/>
    <w:basedOn w:val="HED-tablecaption"/>
    <w:next w:val="HED-text"/>
    <w:qFormat/>
    <w:rsid w:val="00101D43"/>
    <w:pPr>
      <w:spacing w:before="0"/>
      <w:ind w:left="0" w:right="0"/>
    </w:pPr>
  </w:style>
  <w:style w:type="paragraph" w:customStyle="1" w:styleId="HED-figurecaption">
    <w:name w:val="HED-figure_caption"/>
    <w:basedOn w:val="HED-acknowledgments"/>
    <w:next w:val="HED-figure"/>
    <w:qFormat/>
    <w:rsid w:val="00A52F19"/>
    <w:pPr>
      <w:spacing w:after="240" w:line="260" w:lineRule="atLeast"/>
      <w:ind w:left="425" w:right="425"/>
    </w:pPr>
    <w:rPr>
      <w:snapToGrid/>
    </w:rPr>
  </w:style>
  <w:style w:type="paragraph" w:customStyle="1" w:styleId="HED-figure">
    <w:name w:val="HED-figure"/>
    <w:next w:val="HED-text"/>
    <w:qFormat/>
    <w:rsid w:val="0096591C"/>
    <w:pPr>
      <w:suppressLineNumbers/>
      <w:jc w:val="center"/>
    </w:pPr>
    <w:rPr>
      <w:rFonts w:ascii="Palatino Linotype" w:eastAsia="Times New Roman" w:hAnsi="Palatino Linotype"/>
      <w:snapToGrid w:val="0"/>
      <w:color w:val="000000"/>
      <w:sz w:val="24"/>
      <w:lang w:val="en-US" w:eastAsia="de-DE" w:bidi="en-US"/>
    </w:rPr>
  </w:style>
  <w:style w:type="paragraph" w:customStyle="1" w:styleId="HED-text">
    <w:name w:val="HED-text"/>
    <w:qFormat/>
    <w:rsid w:val="004711DD"/>
    <w:pPr>
      <w:suppressLineNumbers/>
      <w:adjustRightInd w:val="0"/>
      <w:snapToGrid w:val="0"/>
      <w:spacing w:line="276" w:lineRule="auto"/>
      <w:ind w:firstLine="425"/>
      <w:jc w:val="both"/>
    </w:pPr>
    <w:rPr>
      <w:rFonts w:ascii="Palatino Linotype" w:eastAsia="Times New Roman" w:hAnsi="Palatino Linotype"/>
      <w:snapToGrid w:val="0"/>
      <w:color w:val="000000"/>
      <w:sz w:val="22"/>
      <w:szCs w:val="22"/>
      <w:lang w:val="en-US" w:eastAsia="de-DE" w:bidi="en-US"/>
    </w:rPr>
  </w:style>
  <w:style w:type="paragraph" w:customStyle="1" w:styleId="HED-heading1">
    <w:name w:val="HED-heading1"/>
    <w:next w:val="HED-text"/>
    <w:qFormat/>
    <w:rsid w:val="007E5E72"/>
    <w:pPr>
      <w:suppressLineNumbers/>
      <w:adjustRightInd w:val="0"/>
      <w:snapToGrid w:val="0"/>
      <w:spacing w:before="240" w:after="120" w:line="260" w:lineRule="atLeast"/>
      <w:outlineLvl w:val="0"/>
    </w:pPr>
    <w:rPr>
      <w:rFonts w:ascii="Palatino Linotype" w:eastAsia="Times New Roman" w:hAnsi="Palatino Linotype"/>
      <w:b/>
      <w:snapToGrid w:val="0"/>
      <w:color w:val="000000"/>
      <w:sz w:val="22"/>
      <w:szCs w:val="22"/>
      <w:lang w:val="en-US" w:eastAsia="de-DE" w:bidi="en-US"/>
    </w:rPr>
  </w:style>
  <w:style w:type="paragraph" w:customStyle="1" w:styleId="HED-heading2">
    <w:name w:val="HED-heading2"/>
    <w:next w:val="HED-text"/>
    <w:qFormat/>
    <w:rsid w:val="007E5E72"/>
    <w:pPr>
      <w:suppressLineNumbers/>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2"/>
      <w:szCs w:val="22"/>
      <w:lang w:val="en-US" w:eastAsia="de-DE" w:bidi="en-US"/>
    </w:rPr>
  </w:style>
  <w:style w:type="paragraph" w:customStyle="1" w:styleId="HED-References">
    <w:name w:val="HED-References"/>
    <w:basedOn w:val="HED-acknowledgments"/>
    <w:qFormat/>
    <w:rsid w:val="00221215"/>
    <w:pPr>
      <w:spacing w:before="0" w:line="260" w:lineRule="atLeast"/>
      <w:ind w:left="425" w:hanging="425"/>
      <w:jc w:val="left"/>
    </w:pPr>
  </w:style>
  <w:style w:type="paragraph" w:styleId="Textbubliny">
    <w:name w:val="Balloon Text"/>
    <w:basedOn w:val="Normln"/>
    <w:link w:val="TextbublinyChar"/>
    <w:uiPriority w:val="99"/>
    <w:semiHidden/>
    <w:rsid w:val="00101D43"/>
    <w:pPr>
      <w:spacing w:line="240" w:lineRule="auto"/>
    </w:pPr>
    <w:rPr>
      <w:sz w:val="18"/>
      <w:szCs w:val="18"/>
    </w:rPr>
  </w:style>
  <w:style w:type="character" w:customStyle="1" w:styleId="TextbublinyChar">
    <w:name w:val="Text bubliny Char"/>
    <w:link w:val="Textbubliny"/>
    <w:uiPriority w:val="99"/>
    <w:semiHidden/>
    <w:rsid w:val="00BA0A2C"/>
    <w:rPr>
      <w:rFonts w:ascii="Times New Roman" w:eastAsia="Times New Roman" w:hAnsi="Times New Roman"/>
      <w:color w:val="000000"/>
      <w:sz w:val="18"/>
      <w:szCs w:val="18"/>
      <w:lang w:val="en-US" w:eastAsia="de-DE"/>
    </w:rPr>
  </w:style>
  <w:style w:type="character" w:styleId="slodku">
    <w:name w:val="line number"/>
    <w:basedOn w:val="Standardnpsmoodstavce"/>
    <w:uiPriority w:val="99"/>
    <w:semiHidden/>
    <w:rsid w:val="00101D43"/>
  </w:style>
  <w:style w:type="table" w:customStyle="1" w:styleId="MDPI41threelinetable">
    <w:name w:val="MDPI_4.1_three_line_table"/>
    <w:basedOn w:val="Normlntabulka"/>
    <w:uiPriority w:val="99"/>
    <w:rsid w:val="00A6285A"/>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textovodkaz">
    <w:name w:val="Hyperlink"/>
    <w:uiPriority w:val="99"/>
    <w:semiHidden/>
    <w:rsid w:val="0001174F"/>
    <w:rPr>
      <w:color w:val="0563C1"/>
      <w:u w:val="single"/>
    </w:rPr>
  </w:style>
  <w:style w:type="character" w:styleId="Nevyeenzmnka">
    <w:name w:val="Unresolved Mention"/>
    <w:uiPriority w:val="99"/>
    <w:semiHidden/>
    <w:rsid w:val="003305E2"/>
    <w:rPr>
      <w:color w:val="605E5C"/>
      <w:shd w:val="clear" w:color="auto" w:fill="E1DFDD"/>
    </w:rPr>
  </w:style>
  <w:style w:type="paragraph" w:styleId="Zpat">
    <w:name w:val="footer"/>
    <w:basedOn w:val="Normln"/>
    <w:link w:val="ZpatChar"/>
    <w:uiPriority w:val="99"/>
    <w:semiHidden/>
    <w:rsid w:val="00BE027B"/>
    <w:pPr>
      <w:tabs>
        <w:tab w:val="center" w:pos="4153"/>
        <w:tab w:val="right" w:pos="8306"/>
      </w:tabs>
    </w:pPr>
  </w:style>
  <w:style w:type="character" w:customStyle="1" w:styleId="ZpatChar">
    <w:name w:val="Zápatí Char"/>
    <w:link w:val="Zpat"/>
    <w:uiPriority w:val="99"/>
    <w:semiHidden/>
    <w:rsid w:val="00BA0A2C"/>
    <w:rPr>
      <w:rFonts w:ascii="Times New Roman" w:eastAsia="Times New Roman" w:hAnsi="Times New Roman"/>
      <w:color w:val="000000"/>
      <w:sz w:val="24"/>
      <w:lang w:val="en-US" w:eastAsia="de-DE"/>
    </w:rPr>
  </w:style>
  <w:style w:type="table" w:styleId="Mkatabulky">
    <w:name w:val="Table Grid"/>
    <w:basedOn w:val="Normlntabulka"/>
    <w:uiPriority w:val="39"/>
    <w:rsid w:val="00BE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4">
    <w:name w:val="Plain Table 4"/>
    <w:basedOn w:val="Normlntabulka"/>
    <w:uiPriority w:val="44"/>
    <w:rsid w:val="00BE02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ledovanodkaz">
    <w:name w:val="FollowedHyperlink"/>
    <w:uiPriority w:val="99"/>
    <w:semiHidden/>
    <w:rsid w:val="0062223B"/>
    <w:rPr>
      <w:color w:val="954F72"/>
      <w:u w:val="single"/>
    </w:rPr>
  </w:style>
  <w:style w:type="character" w:styleId="Odkaznakoment">
    <w:name w:val="annotation reference"/>
    <w:basedOn w:val="Standardnpsmoodstavce"/>
    <w:uiPriority w:val="99"/>
    <w:semiHidden/>
    <w:rsid w:val="0086359F"/>
    <w:rPr>
      <w:sz w:val="16"/>
      <w:szCs w:val="16"/>
    </w:rPr>
  </w:style>
  <w:style w:type="paragraph" w:styleId="Textkomente">
    <w:name w:val="annotation text"/>
    <w:basedOn w:val="Normln"/>
    <w:link w:val="TextkomenteChar"/>
    <w:uiPriority w:val="99"/>
    <w:semiHidden/>
    <w:rsid w:val="0086359F"/>
    <w:pPr>
      <w:spacing w:line="240" w:lineRule="auto"/>
    </w:pPr>
    <w:rPr>
      <w:sz w:val="20"/>
    </w:rPr>
  </w:style>
  <w:style w:type="character" w:customStyle="1" w:styleId="TextkomenteChar">
    <w:name w:val="Text komentáře Char"/>
    <w:basedOn w:val="Standardnpsmoodstavce"/>
    <w:link w:val="Textkomente"/>
    <w:uiPriority w:val="99"/>
    <w:semiHidden/>
    <w:rsid w:val="00BA0A2C"/>
    <w:rPr>
      <w:rFonts w:ascii="Times New Roman" w:eastAsia="Times New Roman" w:hAnsi="Times New Roman"/>
      <w:color w:val="000000"/>
      <w:lang w:val="en-US" w:eastAsia="de-DE"/>
    </w:rPr>
  </w:style>
  <w:style w:type="paragraph" w:styleId="Pedmtkomente">
    <w:name w:val="annotation subject"/>
    <w:basedOn w:val="Textkomente"/>
    <w:next w:val="Textkomente"/>
    <w:link w:val="PedmtkomenteChar"/>
    <w:uiPriority w:val="99"/>
    <w:semiHidden/>
    <w:rsid w:val="0086359F"/>
    <w:rPr>
      <w:b/>
      <w:bCs/>
    </w:rPr>
  </w:style>
  <w:style w:type="character" w:customStyle="1" w:styleId="PedmtkomenteChar">
    <w:name w:val="Předmět komentáře Char"/>
    <w:basedOn w:val="TextkomenteChar"/>
    <w:link w:val="Pedmtkomente"/>
    <w:uiPriority w:val="99"/>
    <w:semiHidden/>
    <w:rsid w:val="00BA0A2C"/>
    <w:rPr>
      <w:rFonts w:ascii="Times New Roman" w:eastAsia="Times New Roman" w:hAnsi="Times New Roman"/>
      <w:b/>
      <w:bCs/>
      <w:color w:val="000000"/>
      <w:lang w:val="en-US" w:eastAsia="de-DE"/>
    </w:rPr>
  </w:style>
  <w:style w:type="paragraph" w:customStyle="1" w:styleId="HEDHEADER">
    <w:name w:val="HED_HEADER"/>
    <w:qFormat/>
    <w:rsid w:val="00895055"/>
    <w:pPr>
      <w:pBdr>
        <w:bottom w:val="single" w:sz="6" w:space="1" w:color="auto"/>
      </w:pBdr>
      <w:tabs>
        <w:tab w:val="center" w:pos="4153"/>
        <w:tab w:val="right" w:pos="8306"/>
      </w:tabs>
      <w:snapToGrid w:val="0"/>
      <w:spacing w:line="240" w:lineRule="atLeast"/>
    </w:pPr>
    <w:rPr>
      <w:rFonts w:ascii="Palatino Linotype" w:eastAsia="Times New Roman" w:hAnsi="Palatino Linotype"/>
      <w:caps/>
      <w:color w:val="000000"/>
      <w:sz w:val="18"/>
      <w:szCs w:val="18"/>
      <w:lang w:eastAsia="de-DE"/>
    </w:rPr>
  </w:style>
  <w:style w:type="paragraph" w:styleId="Odstavecseseznamem">
    <w:name w:val="List Paragraph"/>
    <w:basedOn w:val="Normln"/>
    <w:uiPriority w:val="34"/>
    <w:qFormat/>
    <w:rsid w:val="00745526"/>
    <w:pPr>
      <w:ind w:left="720"/>
      <w:contextualSpacing/>
    </w:pPr>
  </w:style>
  <w:style w:type="character" w:styleId="Zdraznn">
    <w:name w:val="Emphasis"/>
    <w:basedOn w:val="Standardnpsmoodstavce"/>
    <w:uiPriority w:val="99"/>
    <w:semiHidden/>
    <w:qFormat/>
    <w:rsid w:val="00221215"/>
    <w:rPr>
      <w:i/>
      <w:iCs/>
    </w:rPr>
  </w:style>
  <w:style w:type="paragraph" w:styleId="Zhlav">
    <w:name w:val="header"/>
    <w:basedOn w:val="Normln"/>
    <w:link w:val="ZhlavChar"/>
    <w:uiPriority w:val="99"/>
    <w:semiHidden/>
    <w:rsid w:val="00C70103"/>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C70103"/>
    <w:rPr>
      <w:rFonts w:ascii="Times New Roman" w:eastAsia="Times New Roman" w:hAnsi="Times New Roman"/>
      <w:color w:val="000000"/>
      <w:sz w:val="24"/>
      <w:lang w:val="en-US" w:eastAsia="de-DE"/>
    </w:rPr>
  </w:style>
  <w:style w:type="paragraph" w:customStyle="1" w:styleId="HED-code">
    <w:name w:val="HED-code"/>
    <w:basedOn w:val="HED-text"/>
    <w:uiPriority w:val="99"/>
    <w:qFormat/>
    <w:rsid w:val="00291D2D"/>
    <w:pPr>
      <w:contextualSpacing/>
    </w:pPr>
    <w:rPr>
      <w:rFonts w:ascii="Courier New" w:hAnsi="Courier New" w:cs="Courier New"/>
      <w:sz w:val="20"/>
      <w:szCs w:val="20"/>
    </w:rPr>
  </w:style>
  <w:style w:type="paragraph" w:styleId="Titulek">
    <w:name w:val="caption"/>
    <w:basedOn w:val="Normln"/>
    <w:next w:val="Normln"/>
    <w:uiPriority w:val="99"/>
    <w:semiHidden/>
    <w:qFormat/>
    <w:rsid w:val="00BD36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8684">
      <w:bodyDiv w:val="1"/>
      <w:marLeft w:val="0"/>
      <w:marRight w:val="0"/>
      <w:marTop w:val="0"/>
      <w:marBottom w:val="0"/>
      <w:divBdr>
        <w:top w:val="none" w:sz="0" w:space="0" w:color="auto"/>
        <w:left w:val="none" w:sz="0" w:space="0" w:color="auto"/>
        <w:bottom w:val="none" w:sz="0" w:space="0" w:color="auto"/>
        <w:right w:val="none" w:sz="0" w:space="0" w:color="auto"/>
      </w:divBdr>
    </w:div>
    <w:div w:id="550961853">
      <w:bodyDiv w:val="1"/>
      <w:marLeft w:val="0"/>
      <w:marRight w:val="0"/>
      <w:marTop w:val="0"/>
      <w:marBottom w:val="0"/>
      <w:divBdr>
        <w:top w:val="none" w:sz="0" w:space="0" w:color="auto"/>
        <w:left w:val="none" w:sz="0" w:space="0" w:color="auto"/>
        <w:bottom w:val="none" w:sz="0" w:space="0" w:color="auto"/>
        <w:right w:val="none" w:sz="0" w:space="0" w:color="auto"/>
      </w:divBdr>
    </w:div>
    <w:div w:id="963317680">
      <w:bodyDiv w:val="1"/>
      <w:marLeft w:val="0"/>
      <w:marRight w:val="0"/>
      <w:marTop w:val="0"/>
      <w:marBottom w:val="0"/>
      <w:divBdr>
        <w:top w:val="none" w:sz="0" w:space="0" w:color="auto"/>
        <w:left w:val="none" w:sz="0" w:space="0" w:color="auto"/>
        <w:bottom w:val="none" w:sz="0" w:space="0" w:color="auto"/>
        <w:right w:val="none" w:sz="0" w:space="0" w:color="auto"/>
      </w:divBdr>
    </w:div>
    <w:div w:id="1113208452">
      <w:bodyDiv w:val="1"/>
      <w:marLeft w:val="0"/>
      <w:marRight w:val="0"/>
      <w:marTop w:val="0"/>
      <w:marBottom w:val="0"/>
      <w:divBdr>
        <w:top w:val="none" w:sz="0" w:space="0" w:color="auto"/>
        <w:left w:val="none" w:sz="0" w:space="0" w:color="auto"/>
        <w:bottom w:val="none" w:sz="0" w:space="0" w:color="auto"/>
        <w:right w:val="none" w:sz="0" w:space="0" w:color="auto"/>
      </w:divBdr>
      <w:divsChild>
        <w:div w:id="931815145">
          <w:marLeft w:val="0"/>
          <w:marRight w:val="0"/>
          <w:marTop w:val="90"/>
          <w:marBottom w:val="0"/>
          <w:divBdr>
            <w:top w:val="none" w:sz="0" w:space="0" w:color="auto"/>
            <w:left w:val="none" w:sz="0" w:space="0" w:color="auto"/>
            <w:bottom w:val="none" w:sz="0" w:space="0" w:color="auto"/>
            <w:right w:val="none" w:sz="0" w:space="0" w:color="auto"/>
          </w:divBdr>
          <w:divsChild>
            <w:div w:id="408313807">
              <w:marLeft w:val="0"/>
              <w:marRight w:val="0"/>
              <w:marTop w:val="0"/>
              <w:marBottom w:val="420"/>
              <w:divBdr>
                <w:top w:val="none" w:sz="0" w:space="0" w:color="auto"/>
                <w:left w:val="none" w:sz="0" w:space="0" w:color="auto"/>
                <w:bottom w:val="none" w:sz="0" w:space="0" w:color="auto"/>
                <w:right w:val="none" w:sz="0" w:space="0" w:color="auto"/>
              </w:divBdr>
              <w:divsChild>
                <w:div w:id="926770687">
                  <w:marLeft w:val="0"/>
                  <w:marRight w:val="0"/>
                  <w:marTop w:val="0"/>
                  <w:marBottom w:val="0"/>
                  <w:divBdr>
                    <w:top w:val="none" w:sz="0" w:space="0" w:color="auto"/>
                    <w:left w:val="none" w:sz="0" w:space="0" w:color="auto"/>
                    <w:bottom w:val="none" w:sz="0" w:space="0" w:color="auto"/>
                    <w:right w:val="none" w:sz="0" w:space="0" w:color="auto"/>
                  </w:divBdr>
                  <w:divsChild>
                    <w:div w:id="677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9652">
      <w:bodyDiv w:val="1"/>
      <w:marLeft w:val="0"/>
      <w:marRight w:val="0"/>
      <w:marTop w:val="0"/>
      <w:marBottom w:val="0"/>
      <w:divBdr>
        <w:top w:val="none" w:sz="0" w:space="0" w:color="auto"/>
        <w:left w:val="none" w:sz="0" w:space="0" w:color="auto"/>
        <w:bottom w:val="none" w:sz="0" w:space="0" w:color="auto"/>
        <w:right w:val="none" w:sz="0" w:space="0" w:color="auto"/>
      </w:divBdr>
    </w:div>
    <w:div w:id="1546021673">
      <w:bodyDiv w:val="1"/>
      <w:marLeft w:val="0"/>
      <w:marRight w:val="0"/>
      <w:marTop w:val="0"/>
      <w:marBottom w:val="0"/>
      <w:divBdr>
        <w:top w:val="none" w:sz="0" w:space="0" w:color="auto"/>
        <w:left w:val="none" w:sz="0" w:space="0" w:color="auto"/>
        <w:bottom w:val="none" w:sz="0" w:space="0" w:color="auto"/>
        <w:right w:val="none" w:sz="0" w:space="0" w:color="auto"/>
      </w:divBdr>
    </w:div>
    <w:div w:id="1585382832">
      <w:bodyDiv w:val="1"/>
      <w:marLeft w:val="0"/>
      <w:marRight w:val="0"/>
      <w:marTop w:val="0"/>
      <w:marBottom w:val="0"/>
      <w:divBdr>
        <w:top w:val="none" w:sz="0" w:space="0" w:color="auto"/>
        <w:left w:val="none" w:sz="0" w:space="0" w:color="auto"/>
        <w:bottom w:val="none" w:sz="0" w:space="0" w:color="auto"/>
        <w:right w:val="none" w:sz="0" w:space="0" w:color="auto"/>
      </w:divBdr>
    </w:div>
    <w:div w:id="1671786297">
      <w:bodyDiv w:val="1"/>
      <w:marLeft w:val="0"/>
      <w:marRight w:val="0"/>
      <w:marTop w:val="0"/>
      <w:marBottom w:val="0"/>
      <w:divBdr>
        <w:top w:val="none" w:sz="0" w:space="0" w:color="auto"/>
        <w:left w:val="none" w:sz="0" w:space="0" w:color="auto"/>
        <w:bottom w:val="none" w:sz="0" w:space="0" w:color="auto"/>
        <w:right w:val="none" w:sz="0" w:space="0" w:color="auto"/>
      </w:divBdr>
    </w:div>
    <w:div w:id="1734037319">
      <w:bodyDiv w:val="1"/>
      <w:marLeft w:val="0"/>
      <w:marRight w:val="0"/>
      <w:marTop w:val="0"/>
      <w:marBottom w:val="0"/>
      <w:divBdr>
        <w:top w:val="none" w:sz="0" w:space="0" w:color="auto"/>
        <w:left w:val="none" w:sz="0" w:space="0" w:color="auto"/>
        <w:bottom w:val="none" w:sz="0" w:space="0" w:color="auto"/>
        <w:right w:val="none" w:sz="0" w:space="0" w:color="auto"/>
      </w:divBdr>
      <w:divsChild>
        <w:div w:id="1420954244">
          <w:marLeft w:val="480"/>
          <w:marRight w:val="0"/>
          <w:marTop w:val="0"/>
          <w:marBottom w:val="0"/>
          <w:divBdr>
            <w:top w:val="none" w:sz="0" w:space="0" w:color="auto"/>
            <w:left w:val="none" w:sz="0" w:space="0" w:color="auto"/>
            <w:bottom w:val="none" w:sz="0" w:space="0" w:color="auto"/>
            <w:right w:val="none" w:sz="0" w:space="0" w:color="auto"/>
          </w:divBdr>
          <w:divsChild>
            <w:div w:id="3225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7489">
      <w:bodyDiv w:val="1"/>
      <w:marLeft w:val="0"/>
      <w:marRight w:val="0"/>
      <w:marTop w:val="0"/>
      <w:marBottom w:val="0"/>
      <w:divBdr>
        <w:top w:val="none" w:sz="0" w:space="0" w:color="auto"/>
        <w:left w:val="none" w:sz="0" w:space="0" w:color="auto"/>
        <w:bottom w:val="none" w:sz="0" w:space="0" w:color="auto"/>
        <w:right w:val="none" w:sz="0" w:space="0" w:color="auto"/>
      </w:divBdr>
      <w:divsChild>
        <w:div w:id="1990549407">
          <w:marLeft w:val="480"/>
          <w:marRight w:val="0"/>
          <w:marTop w:val="0"/>
          <w:marBottom w:val="0"/>
          <w:divBdr>
            <w:top w:val="none" w:sz="0" w:space="0" w:color="auto"/>
            <w:left w:val="none" w:sz="0" w:space="0" w:color="auto"/>
            <w:bottom w:val="none" w:sz="0" w:space="0" w:color="auto"/>
            <w:right w:val="none" w:sz="0" w:space="0" w:color="auto"/>
          </w:divBdr>
          <w:divsChild>
            <w:div w:id="17384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bcovap\Desktop\hed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07693458263443"/>
          <c:y val="0.12194540053750766"/>
          <c:w val="0.30602506437034582"/>
          <c:h val="0.6752708755716913"/>
        </c:manualLayout>
      </c:layout>
      <c:radarChart>
        <c:radarStyle val="marker"/>
        <c:varyColors val="0"/>
        <c:ser>
          <c:idx val="0"/>
          <c:order val="0"/>
          <c:tx>
            <c:strRef>
              <c:f>List1!$H$13</c:f>
              <c:strCache>
                <c:ptCount val="1"/>
                <c:pt idx="0">
                  <c:v>The company applies age management</c:v>
                </c:pt>
              </c:strCache>
            </c:strRef>
          </c:tx>
          <c:spPr>
            <a:ln w="28575" cap="rnd">
              <a:solidFill>
                <a:schemeClr val="accent1"/>
              </a:solidFill>
              <a:round/>
            </a:ln>
            <a:effectLst/>
          </c:spPr>
          <c:marker>
            <c:symbol val="none"/>
          </c:marker>
          <c:cat>
            <c:strRef>
              <c:f>List1!$I$12:$K$12</c:f>
              <c:strCache>
                <c:ptCount val="3"/>
                <c:pt idx="0">
                  <c:v>&lt; 50 employees</c:v>
                </c:pt>
                <c:pt idx="1">
                  <c:v>51–249 employees</c:v>
                </c:pt>
                <c:pt idx="2">
                  <c:v>≥ 250 employees</c:v>
                </c:pt>
              </c:strCache>
            </c:strRef>
          </c:cat>
          <c:val>
            <c:numRef>
              <c:f>List1!$I$13:$K$13</c:f>
              <c:numCache>
                <c:formatCode>General</c:formatCode>
                <c:ptCount val="3"/>
                <c:pt idx="0">
                  <c:v>13</c:v>
                </c:pt>
                <c:pt idx="1">
                  <c:v>18</c:v>
                </c:pt>
                <c:pt idx="2">
                  <c:v>24</c:v>
                </c:pt>
              </c:numCache>
            </c:numRef>
          </c:val>
          <c:extLst>
            <c:ext xmlns:c16="http://schemas.microsoft.com/office/drawing/2014/chart" uri="{C3380CC4-5D6E-409C-BE32-E72D297353CC}">
              <c16:uniqueId val="{00000000-F777-459C-B9BA-8FCAC60356D7}"/>
            </c:ext>
          </c:extLst>
        </c:ser>
        <c:ser>
          <c:idx val="1"/>
          <c:order val="1"/>
          <c:tx>
            <c:strRef>
              <c:f>List1!$H$14</c:f>
              <c:strCache>
                <c:ptCount val="1"/>
                <c:pt idx="0">
                  <c:v>The company does not apply age management</c:v>
                </c:pt>
              </c:strCache>
            </c:strRef>
          </c:tx>
          <c:spPr>
            <a:ln w="28575" cap="rnd">
              <a:solidFill>
                <a:schemeClr val="accent2"/>
              </a:solidFill>
              <a:round/>
            </a:ln>
            <a:effectLst/>
          </c:spPr>
          <c:marker>
            <c:symbol val="none"/>
          </c:marker>
          <c:cat>
            <c:strRef>
              <c:f>List1!$I$12:$K$12</c:f>
              <c:strCache>
                <c:ptCount val="3"/>
                <c:pt idx="0">
                  <c:v>&lt; 50 employees</c:v>
                </c:pt>
                <c:pt idx="1">
                  <c:v>51–249 employees</c:v>
                </c:pt>
                <c:pt idx="2">
                  <c:v>≥ 250 employees</c:v>
                </c:pt>
              </c:strCache>
            </c:strRef>
          </c:cat>
          <c:val>
            <c:numRef>
              <c:f>List1!$I$14:$K$14</c:f>
              <c:numCache>
                <c:formatCode>General</c:formatCode>
                <c:ptCount val="3"/>
                <c:pt idx="0">
                  <c:v>13</c:v>
                </c:pt>
                <c:pt idx="1">
                  <c:v>10</c:v>
                </c:pt>
                <c:pt idx="2">
                  <c:v>22</c:v>
                </c:pt>
              </c:numCache>
            </c:numRef>
          </c:val>
          <c:extLst>
            <c:ext xmlns:c16="http://schemas.microsoft.com/office/drawing/2014/chart" uri="{C3380CC4-5D6E-409C-BE32-E72D297353CC}">
              <c16:uniqueId val="{00000001-F777-459C-B9BA-8FCAC60356D7}"/>
            </c:ext>
          </c:extLst>
        </c:ser>
        <c:dLbls>
          <c:showLegendKey val="0"/>
          <c:showVal val="0"/>
          <c:showCatName val="0"/>
          <c:showSerName val="0"/>
          <c:showPercent val="0"/>
          <c:showBubbleSize val="0"/>
        </c:dLbls>
        <c:axId val="-347122816"/>
        <c:axId val="-347124448"/>
      </c:radarChart>
      <c:catAx>
        <c:axId val="-34712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cs-CZ"/>
          </a:p>
        </c:txPr>
        <c:crossAx val="-347124448"/>
        <c:crosses val="autoZero"/>
        <c:auto val="1"/>
        <c:lblAlgn val="ctr"/>
        <c:lblOffset val="100"/>
        <c:noMultiLvlLbl val="0"/>
      </c:catAx>
      <c:valAx>
        <c:axId val="-347124448"/>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cs-CZ"/>
          </a:p>
        </c:txPr>
        <c:crossAx val="-347122816"/>
        <c:crosses val="autoZero"/>
        <c:crossBetween val="between"/>
      </c:valAx>
      <c:spPr>
        <a:noFill/>
        <a:ln>
          <a:noFill/>
        </a:ln>
        <a:effectLst/>
      </c:spPr>
    </c:plotArea>
    <c:legend>
      <c:legendPos val="t"/>
      <c:layout>
        <c:manualLayout>
          <c:xMode val="edge"/>
          <c:yMode val="edge"/>
          <c:x val="0.62091414315784788"/>
          <c:y val="4.9059871453076248E-2"/>
          <c:w val="0.35957436079315813"/>
          <c:h val="0.576612726558786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B3706721C97542AB29CEA8468697F1" ma:contentTypeVersion="13" ma:contentTypeDescription="Vytvoří nový dokument" ma:contentTypeScope="" ma:versionID="b09f1e503ed41e0f947fca5f3e1be720">
  <xsd:schema xmlns:xsd="http://www.w3.org/2001/XMLSchema" xmlns:xs="http://www.w3.org/2001/XMLSchema" xmlns:p="http://schemas.microsoft.com/office/2006/metadata/properties" xmlns:ns3="7fcca347-276a-49af-a7dd-7df7f35243d3" xmlns:ns4="5772481f-3401-455f-972b-773c6a8fcefe" targetNamespace="http://schemas.microsoft.com/office/2006/metadata/properties" ma:root="true" ma:fieldsID="e04e1c698a229ff44ff02b534a90ce4d" ns3:_="" ns4:_="">
    <xsd:import namespace="7fcca347-276a-49af-a7dd-7df7f35243d3"/>
    <xsd:import namespace="5772481f-3401-455f-972b-773c6a8fce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ca347-276a-49af-a7dd-7df7f35243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2481f-3401-455f-972b-773c6a8fcef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0A41C-7C5B-440B-87D0-19DA6CAE7DE5}">
  <ds:schemaRefs>
    <ds:schemaRef ds:uri="http://schemas.openxmlformats.org/officeDocument/2006/bibliography"/>
  </ds:schemaRefs>
</ds:datastoreItem>
</file>

<file path=customXml/itemProps2.xml><?xml version="1.0" encoding="utf-8"?>
<ds:datastoreItem xmlns:ds="http://schemas.openxmlformats.org/officeDocument/2006/customXml" ds:itemID="{77DE6ABB-1D57-4CC8-BAED-1EBC37A261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D1E60-1EE9-4D22-822C-88EF80781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ca347-276a-49af-a7dd-7df7f35243d3"/>
    <ds:schemaRef ds:uri="5772481f-3401-455f-972b-773c6a8fc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A68A9-9F4F-4E51-9E14-8A7B596D3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hed_template.dotx</Template>
  <TotalTime>50</TotalTime>
  <Pages>11</Pages>
  <Words>4794</Words>
  <Characters>28286</Characters>
  <Application>Microsoft Office Word</Application>
  <DocSecurity>0</DocSecurity>
  <Lines>235</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33014</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Vrabcová Pavla</dc:creator>
  <cp:keywords/>
  <dc:description/>
  <cp:lastModifiedBy>Mačí Jan</cp:lastModifiedBy>
  <cp:revision>22</cp:revision>
  <dcterms:created xsi:type="dcterms:W3CDTF">2022-01-18T19:20:00Z</dcterms:created>
  <dcterms:modified xsi:type="dcterms:W3CDTF">2022-11-02T15:29:00Z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id="qHJ4Jj7U"/&gt;&lt;style id="http://www.zotero.org/styles/multidisciplinary-digital-publishing-institute"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y fmtid="{D5CDD505-2E9C-101B-9397-08002B2CF9AE}" pid="4" name="ContentTypeId">
    <vt:lpwstr>0x01010067B3706721C97542AB29CEA8468697F1</vt:lpwstr>
  </property>
</Properties>
</file>